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9B7C" w14:textId="77777777" w:rsidR="00192E7B" w:rsidRDefault="00192E7B" w:rsidP="00E07F80">
      <w:pPr>
        <w:spacing w:after="120" w:line="360" w:lineRule="auto"/>
        <w:jc w:val="center"/>
        <w:rPr>
          <w:rFonts w:ascii="Arial" w:hAnsi="Arial" w:cs="Arial"/>
          <w:b/>
          <w:bCs/>
        </w:rPr>
      </w:pPr>
    </w:p>
    <w:p w14:paraId="303676F4" w14:textId="029F3D81" w:rsidR="007448DD" w:rsidRPr="00E07F80" w:rsidRDefault="007448DD" w:rsidP="00E07F80">
      <w:pPr>
        <w:spacing w:after="120" w:line="360" w:lineRule="auto"/>
        <w:jc w:val="center"/>
        <w:rPr>
          <w:rFonts w:ascii="Arial" w:hAnsi="Arial" w:cs="Arial"/>
          <w:b/>
          <w:bCs/>
        </w:rPr>
      </w:pPr>
      <w:r w:rsidRPr="00E07F80">
        <w:rPr>
          <w:rFonts w:ascii="Arial" w:hAnsi="Arial" w:cs="Arial"/>
          <w:b/>
          <w:bCs/>
        </w:rPr>
        <w:t>Terms of reference for</w:t>
      </w:r>
      <w:r w:rsidR="005119E3">
        <w:rPr>
          <w:rFonts w:ascii="Arial" w:hAnsi="Arial" w:cs="Arial"/>
          <w:b/>
          <w:bCs/>
        </w:rPr>
        <w:t xml:space="preserve"> </w:t>
      </w:r>
      <w:r w:rsidR="00A562C1" w:rsidRPr="00E07F80">
        <w:rPr>
          <w:rFonts w:ascii="Arial" w:hAnsi="Arial" w:cs="Arial"/>
          <w:b/>
          <w:bCs/>
        </w:rPr>
        <w:t xml:space="preserve">the </w:t>
      </w:r>
      <w:r w:rsidRPr="00E07F80">
        <w:rPr>
          <w:rFonts w:ascii="Arial" w:hAnsi="Arial" w:cs="Arial"/>
          <w:b/>
          <w:bCs/>
        </w:rPr>
        <w:t>engagement of</w:t>
      </w:r>
    </w:p>
    <w:p w14:paraId="0B69EB57" w14:textId="46C7E6B6" w:rsidR="004C7245" w:rsidRDefault="000A7EF7" w:rsidP="004C7245">
      <w:pPr>
        <w:spacing w:after="120" w:line="360" w:lineRule="auto"/>
        <w:jc w:val="center"/>
        <w:rPr>
          <w:rFonts w:ascii="Arial" w:hAnsi="Arial" w:cs="Arial"/>
          <w:b/>
          <w:bCs/>
        </w:rPr>
      </w:pPr>
      <w:r w:rsidRPr="00E07F80">
        <w:rPr>
          <w:rFonts w:ascii="Arial" w:hAnsi="Arial" w:cs="Arial"/>
          <w:b/>
          <w:bCs/>
        </w:rPr>
        <w:t>Local</w:t>
      </w:r>
      <w:r w:rsidR="00CC764C" w:rsidRPr="00E07F80">
        <w:rPr>
          <w:rFonts w:ascii="Arial" w:hAnsi="Arial" w:cs="Arial"/>
          <w:b/>
          <w:bCs/>
        </w:rPr>
        <w:t>ly</w:t>
      </w:r>
      <w:r w:rsidRPr="00E07F80">
        <w:rPr>
          <w:rFonts w:ascii="Arial" w:hAnsi="Arial" w:cs="Arial"/>
          <w:b/>
          <w:bCs/>
        </w:rPr>
        <w:t xml:space="preserve"> contracted expert</w:t>
      </w:r>
      <w:r w:rsidR="00F71519" w:rsidRPr="00E07F80">
        <w:rPr>
          <w:rFonts w:ascii="Arial" w:hAnsi="Arial" w:cs="Arial"/>
          <w:b/>
          <w:bCs/>
        </w:rPr>
        <w:t xml:space="preserve"> – </w:t>
      </w:r>
      <w:r w:rsidR="006A24D0">
        <w:rPr>
          <w:rFonts w:ascii="Arial" w:hAnsi="Arial" w:cs="Arial"/>
          <w:b/>
          <w:bCs/>
        </w:rPr>
        <w:t>Expert</w:t>
      </w:r>
      <w:r w:rsidR="005F7CFE" w:rsidRPr="005F7CFE">
        <w:rPr>
          <w:rFonts w:ascii="Arial" w:hAnsi="Arial" w:cs="Arial"/>
          <w:b/>
          <w:bCs/>
        </w:rPr>
        <w:t xml:space="preserve"> to support </w:t>
      </w:r>
      <w:r w:rsidR="004C7245" w:rsidRPr="004C7245">
        <w:rPr>
          <w:rFonts w:ascii="Arial" w:hAnsi="Arial" w:cs="Arial"/>
          <w:b/>
          <w:bCs/>
        </w:rPr>
        <w:t>the transfer and alignment of national railway vehicle registration data to the European Vehicle Register (EVR)</w:t>
      </w:r>
      <w:r w:rsidR="004C7245">
        <w:rPr>
          <w:rFonts w:ascii="Arial" w:hAnsi="Arial" w:cs="Arial"/>
          <w:b/>
          <w:bCs/>
        </w:rPr>
        <w:t xml:space="preserve"> for North Macedonia</w:t>
      </w:r>
    </w:p>
    <w:p w14:paraId="42ABA3C6" w14:textId="0A15D4A5" w:rsidR="00C95A4B" w:rsidRPr="004C7245" w:rsidRDefault="00C95A4B" w:rsidP="004C7245">
      <w:pPr>
        <w:spacing w:after="120" w:line="360" w:lineRule="auto"/>
        <w:jc w:val="center"/>
        <w:rPr>
          <w:rFonts w:ascii="Arial" w:hAnsi="Arial" w:cs="Arial"/>
          <w:b/>
          <w:bCs/>
        </w:rPr>
      </w:pPr>
      <w:r w:rsidRPr="00C95A4B">
        <w:rPr>
          <w:rFonts w:ascii="Arial" w:hAnsi="Arial" w:cs="Arial"/>
          <w:b/>
          <w:bCs/>
        </w:rPr>
        <w:t>PS/SRV/LCE-MKD/012/2026</w:t>
      </w:r>
    </w:p>
    <w:p w14:paraId="0C92688A" w14:textId="45DF7552" w:rsidR="00106077" w:rsidRPr="00E07F80" w:rsidRDefault="00106077" w:rsidP="00E07F80">
      <w:pPr>
        <w:spacing w:after="120" w:line="360" w:lineRule="auto"/>
        <w:jc w:val="center"/>
        <w:rPr>
          <w:rFonts w:ascii="Arial" w:hAnsi="Arial" w:cs="Arial"/>
        </w:rPr>
      </w:pPr>
      <w:bookmarkStart w:id="0" w:name="_Hlk195691060"/>
      <w:bookmarkStart w:id="1" w:name="_Hlk195690451"/>
    </w:p>
    <w:bookmarkEnd w:id="0"/>
    <w:bookmarkEnd w:id="1"/>
    <w:p w14:paraId="5E9DF54A" w14:textId="3C7E2FAC"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Background</w:t>
      </w:r>
    </w:p>
    <w:p w14:paraId="049ADE16" w14:textId="224DC5C2" w:rsidR="00215525" w:rsidRPr="00E07F80" w:rsidRDefault="00215525" w:rsidP="00E07F80">
      <w:pPr>
        <w:spacing w:after="120" w:line="360" w:lineRule="auto"/>
        <w:jc w:val="both"/>
        <w:rPr>
          <w:rFonts w:ascii="Arial" w:hAnsi="Arial" w:cs="Arial"/>
          <w:iCs/>
        </w:rPr>
      </w:pPr>
      <w:r w:rsidRPr="00E07F80">
        <w:rPr>
          <w:rFonts w:ascii="Arial" w:hAnsi="Arial" w:cs="Arial"/>
          <w:iCs/>
        </w:rPr>
        <w:t xml:space="preserve">The Transport Community is an international organisation in the field of mobility and transport. It has 36 participants – the European Union Member States represented by the European Commission, the </w:t>
      </w:r>
      <w:r w:rsidR="0013031A" w:rsidRPr="00E07F80">
        <w:rPr>
          <w:rFonts w:ascii="Arial" w:hAnsi="Arial" w:cs="Arial"/>
          <w:iCs/>
        </w:rPr>
        <w:t>Southeast</w:t>
      </w:r>
      <w:r w:rsidRPr="00E07F80">
        <w:rPr>
          <w:rFonts w:ascii="Arial" w:hAnsi="Arial" w:cs="Arial"/>
          <w:iCs/>
        </w:rPr>
        <w:t xml:space="preserve"> European Parties (the Republic of Albania, Bosnia and Herzegovina, Kosovo*, Montenegro, the Republic of North Macedonia, and the Republic of Serbia - hereinafter referred at collectively as “regional partners”) and the three observing participants (Georgia, Republic of Moldova and Ukraine). Transport Community is working on integrating Western Balkans’ transport markets into the EU by assisting the regional partners in adopting and implementing the EU legislation in the transport field and supporting projects connecting the region with the EU.</w:t>
      </w:r>
    </w:p>
    <w:p w14:paraId="4446A77E" w14:textId="433596FF" w:rsidR="00215525" w:rsidRPr="00E07F80" w:rsidRDefault="00215525" w:rsidP="00E07F80">
      <w:pPr>
        <w:spacing w:after="120" w:line="360" w:lineRule="auto"/>
        <w:jc w:val="both"/>
        <w:rPr>
          <w:rFonts w:ascii="Arial" w:hAnsi="Arial" w:cs="Arial"/>
          <w:iCs/>
        </w:rPr>
      </w:pPr>
      <w:r w:rsidRPr="00E07F80">
        <w:rPr>
          <w:rFonts w:ascii="Arial" w:hAnsi="Arial" w:cs="Arial"/>
          <w:iCs/>
        </w:rPr>
        <w:t xml:space="preserve">The organisation </w:t>
      </w:r>
      <w:r w:rsidR="00E04F7F" w:rsidRPr="00E07F80">
        <w:rPr>
          <w:rFonts w:ascii="Arial" w:hAnsi="Arial" w:cs="Arial"/>
          <w:iCs/>
        </w:rPr>
        <w:t>was</w:t>
      </w:r>
      <w:r w:rsidRPr="00E07F80">
        <w:rPr>
          <w:rFonts w:ascii="Arial" w:hAnsi="Arial" w:cs="Arial"/>
          <w:iCs/>
        </w:rPr>
        <w:t xml:space="preserve"> founded </w:t>
      </w:r>
      <w:r w:rsidR="00E04F7F" w:rsidRPr="00E07F80">
        <w:rPr>
          <w:rFonts w:ascii="Arial" w:hAnsi="Arial" w:cs="Arial"/>
          <w:iCs/>
        </w:rPr>
        <w:t xml:space="preserve">with </w:t>
      </w:r>
      <w:r w:rsidR="00AA2AE7" w:rsidRPr="00E07F80">
        <w:rPr>
          <w:rFonts w:ascii="Arial" w:hAnsi="Arial" w:cs="Arial"/>
          <w:iCs/>
        </w:rPr>
        <w:t>a</w:t>
      </w:r>
      <w:r w:rsidRPr="00E07F80">
        <w:rPr>
          <w:rFonts w:ascii="Arial" w:hAnsi="Arial" w:cs="Arial"/>
          <w:iCs/>
        </w:rPr>
        <w:t xml:space="preserve"> Treaty</w:t>
      </w:r>
      <w:r w:rsidRPr="00E07F80">
        <w:rPr>
          <w:rStyle w:val="FootnoteReference"/>
          <w:rFonts w:ascii="Arial" w:hAnsi="Arial" w:cs="Arial"/>
          <w:iCs/>
        </w:rPr>
        <w:footnoteReference w:id="2"/>
      </w:r>
      <w:r w:rsidRPr="00E07F80">
        <w:rPr>
          <w:rFonts w:ascii="Arial" w:hAnsi="Arial" w:cs="Arial"/>
          <w:iCs/>
        </w:rPr>
        <w:t xml:space="preserve"> </w:t>
      </w:r>
      <w:r w:rsidR="00950C1F" w:rsidRPr="00E07F80">
        <w:rPr>
          <w:rFonts w:ascii="Arial" w:hAnsi="Arial" w:cs="Arial"/>
          <w:iCs/>
        </w:rPr>
        <w:t>Establishing</w:t>
      </w:r>
      <w:r w:rsidRPr="00E07F80">
        <w:rPr>
          <w:rFonts w:ascii="Arial" w:hAnsi="Arial" w:cs="Arial"/>
          <w:iCs/>
        </w:rPr>
        <w:t xml:space="preserve"> the Transport Community</w:t>
      </w:r>
      <w:r w:rsidR="00E04F7F" w:rsidRPr="00E07F80">
        <w:rPr>
          <w:rFonts w:ascii="Arial" w:hAnsi="Arial" w:cs="Arial"/>
          <w:iCs/>
        </w:rPr>
        <w:t>, signed on 9</w:t>
      </w:r>
      <w:r w:rsidRPr="00E07F80">
        <w:rPr>
          <w:rFonts w:ascii="Arial" w:hAnsi="Arial" w:cs="Arial"/>
          <w:iCs/>
        </w:rPr>
        <w:t xml:space="preserve"> October 2017 by all partners (Council Decision (EU) 2019/392).</w:t>
      </w:r>
    </w:p>
    <w:p w14:paraId="5AD188C2" w14:textId="77777777" w:rsidR="003905C5" w:rsidRDefault="00215525" w:rsidP="00AB3EAE">
      <w:pPr>
        <w:spacing w:after="120" w:line="360" w:lineRule="auto"/>
        <w:jc w:val="both"/>
        <w:rPr>
          <w:rFonts w:ascii="Arial" w:hAnsi="Arial" w:cs="Arial"/>
          <w:iCs/>
        </w:rPr>
      </w:pPr>
      <w:r w:rsidRPr="00E07F80">
        <w:rPr>
          <w:rFonts w:ascii="Arial" w:hAnsi="Arial" w:cs="Arial"/>
          <w:iCs/>
        </w:rPr>
        <w:t>The aim of the Treaty</w:t>
      </w:r>
      <w:r w:rsidR="00200C21" w:rsidRPr="00E07F80">
        <w:rPr>
          <w:rFonts w:ascii="Arial" w:hAnsi="Arial" w:cs="Arial"/>
          <w:iCs/>
        </w:rPr>
        <w:t>, therefore,</w:t>
      </w:r>
      <w:r w:rsidRPr="00E07F80">
        <w:rPr>
          <w:rFonts w:ascii="Arial" w:hAnsi="Arial" w:cs="Arial"/>
          <w:iCs/>
        </w:rPr>
        <w:t xml:space="preserve"> is the creation of a Transport Community in the field</w:t>
      </w:r>
      <w:r w:rsidR="00F91F6F" w:rsidRPr="00E07F80">
        <w:rPr>
          <w:rFonts w:ascii="Arial" w:hAnsi="Arial" w:cs="Arial"/>
          <w:iCs/>
        </w:rPr>
        <w:t>s</w:t>
      </w:r>
      <w:r w:rsidRPr="00E07F80">
        <w:rPr>
          <w:rFonts w:ascii="Arial" w:hAnsi="Arial" w:cs="Arial"/>
          <w:iCs/>
        </w:rPr>
        <w:t xml:space="preserve"> of road, rail, inland waterway, and maritime transport as well as the development of the transport network between the European Union and the Western Balkan Parties.</w:t>
      </w:r>
      <w:r w:rsidRPr="00E07F80">
        <w:rPr>
          <w:rFonts w:ascii="Arial" w:hAnsi="Arial" w:cs="Arial"/>
        </w:rPr>
        <w:t xml:space="preserve"> </w:t>
      </w:r>
      <w:r w:rsidRPr="00E07F80">
        <w:rPr>
          <w:rFonts w:ascii="Arial" w:hAnsi="Arial" w:cs="Arial"/>
          <w:iCs/>
        </w:rPr>
        <w:t xml:space="preserve">The Transport Community shall be based on the progressive integration of transport markets of the </w:t>
      </w:r>
      <w:proofErr w:type="gramStart"/>
      <w:r w:rsidRPr="00E07F80">
        <w:rPr>
          <w:rFonts w:ascii="Arial" w:hAnsi="Arial" w:cs="Arial"/>
          <w:iCs/>
        </w:rPr>
        <w:t>South East</w:t>
      </w:r>
      <w:proofErr w:type="gramEnd"/>
      <w:r w:rsidRPr="00E07F80">
        <w:rPr>
          <w:rFonts w:ascii="Arial" w:hAnsi="Arial" w:cs="Arial"/>
          <w:iCs/>
        </w:rPr>
        <w:t xml:space="preserve"> European Parties into the European Union transport market </w:t>
      </w:r>
      <w:r w:rsidR="00F91F6F" w:rsidRPr="00E07F80">
        <w:rPr>
          <w:rFonts w:ascii="Arial" w:hAnsi="Arial" w:cs="Arial"/>
          <w:iCs/>
        </w:rPr>
        <w:t>based on</w:t>
      </w:r>
      <w:r w:rsidRPr="00E07F80">
        <w:rPr>
          <w:rFonts w:ascii="Arial" w:hAnsi="Arial" w:cs="Arial"/>
          <w:iCs/>
        </w:rPr>
        <w:t xml:space="preserve"> the relevant acquis, including in the areas of technical standards, interoperability, safety, security, traffic management, social policy, public procurement and environment, for all modes of transport excluding air transport. For this purpose, </w:t>
      </w:r>
      <w:r w:rsidRPr="00E07F80">
        <w:rPr>
          <w:rFonts w:ascii="Arial" w:hAnsi="Arial" w:cs="Arial"/>
          <w:iCs/>
        </w:rPr>
        <w:lastRenderedPageBreak/>
        <w:t>this Treaty sets out the rules applicable between the Contracting Parties under the conditions set out hereinafter. These rules include the provisions laid down by the acts specified in Annex I</w:t>
      </w:r>
      <w:r w:rsidR="00FA16E2" w:rsidRPr="00E07F80">
        <w:rPr>
          <w:rStyle w:val="FootnoteReference"/>
          <w:rFonts w:ascii="Arial" w:hAnsi="Arial" w:cs="Arial"/>
          <w:iCs/>
        </w:rPr>
        <w:footnoteReference w:id="3"/>
      </w:r>
      <w:r w:rsidR="006C519D" w:rsidRPr="00E07F80">
        <w:rPr>
          <w:rFonts w:ascii="Arial" w:hAnsi="Arial" w:cs="Arial"/>
          <w:iCs/>
        </w:rPr>
        <w:t>.</w:t>
      </w:r>
      <w:bookmarkStart w:id="2" w:name="_Hlk193806327"/>
    </w:p>
    <w:p w14:paraId="28EF22D6" w14:textId="5D0D2CB5" w:rsidR="008B013D" w:rsidRPr="008A74B2" w:rsidRDefault="008A74B2" w:rsidP="00AB3EAE">
      <w:pPr>
        <w:spacing w:after="120" w:line="360" w:lineRule="auto"/>
        <w:jc w:val="both"/>
        <w:rPr>
          <w:rFonts w:ascii="Arial" w:hAnsi="Arial" w:cs="Arial"/>
        </w:rPr>
      </w:pPr>
      <w:r w:rsidRPr="008A74B2">
        <w:rPr>
          <w:rFonts w:ascii="Arial" w:hAnsi="Arial" w:cs="Arial"/>
          <w:b/>
          <w:bCs/>
        </w:rPr>
        <w:t>According to</w:t>
      </w:r>
      <w:r w:rsidR="008B013D" w:rsidRPr="008A74B2">
        <w:rPr>
          <w:rFonts w:ascii="Arial" w:hAnsi="Arial" w:cs="Arial"/>
          <w:b/>
          <w:bCs/>
        </w:rPr>
        <w:t xml:space="preserve"> the Next Generation Action Plan for Railways</w:t>
      </w:r>
      <w:r w:rsidR="008E7BFC">
        <w:rPr>
          <w:rStyle w:val="FootnoteReference"/>
          <w:rFonts w:ascii="Arial" w:hAnsi="Arial" w:cs="Arial"/>
          <w:b/>
          <w:bCs/>
        </w:rPr>
        <w:footnoteReference w:id="4"/>
      </w:r>
      <w:r w:rsidR="008B013D" w:rsidRPr="008A74B2">
        <w:rPr>
          <w:rFonts w:ascii="Arial" w:hAnsi="Arial" w:cs="Arial"/>
        </w:rPr>
        <w:t xml:space="preserve">, all Regional Partners need to </w:t>
      </w:r>
      <w:r w:rsidR="007A72C3" w:rsidRPr="008A74B2">
        <w:rPr>
          <w:rFonts w:ascii="Arial" w:hAnsi="Arial" w:cs="Arial"/>
        </w:rPr>
        <w:t>implement</w:t>
      </w:r>
      <w:r w:rsidR="008B013D" w:rsidRPr="008A74B2">
        <w:rPr>
          <w:rFonts w:ascii="Arial" w:hAnsi="Arial" w:cs="Arial"/>
        </w:rPr>
        <w:t xml:space="preserve"> an electronic register of vehicles within the European Vehicle Register (EVR) </w:t>
      </w:r>
      <w:r w:rsidR="007A72C3" w:rsidRPr="008A74B2">
        <w:rPr>
          <w:rFonts w:ascii="Arial" w:hAnsi="Arial" w:cs="Arial"/>
        </w:rPr>
        <w:t xml:space="preserve">until Q4 2026. </w:t>
      </w:r>
    </w:p>
    <w:p w14:paraId="01C46D4A" w14:textId="05763D48" w:rsidR="008A74B2" w:rsidRPr="008A74B2" w:rsidRDefault="008A74B2" w:rsidP="00AB3EAE">
      <w:pPr>
        <w:spacing w:after="120" w:line="360" w:lineRule="auto"/>
        <w:jc w:val="both"/>
        <w:rPr>
          <w:rFonts w:ascii="Arial" w:hAnsi="Arial" w:cs="Arial"/>
        </w:rPr>
      </w:pPr>
      <w:r w:rsidRPr="008A74B2">
        <w:rPr>
          <w:rFonts w:ascii="Arial" w:hAnsi="Arial" w:cs="Arial"/>
        </w:rPr>
        <w:t>This action is based on Annex I.2 Rules applicable to Rail transport in the Interoperability Regulatory Area, closely related to: Directive (EU) 2016/797 of the European Parliament and of the Council of 11 May 2016 and Implementing Decision (EU) 2018/1614 of the European Parliament and of the Council of 25 October 2018.</w:t>
      </w:r>
    </w:p>
    <w:bookmarkEnd w:id="2"/>
    <w:p w14:paraId="792715F6" w14:textId="0EC2193E" w:rsidR="00FE79E9" w:rsidRPr="00E07F80" w:rsidRDefault="00FE79E9" w:rsidP="00005CD7">
      <w:pPr>
        <w:pStyle w:val="ListParagraph"/>
        <w:numPr>
          <w:ilvl w:val="0"/>
          <w:numId w:val="1"/>
        </w:numPr>
        <w:tabs>
          <w:tab w:val="left" w:pos="567"/>
        </w:tabs>
        <w:autoSpaceDE w:val="0"/>
        <w:autoSpaceDN w:val="0"/>
        <w:spacing w:after="120" w:line="360" w:lineRule="auto"/>
        <w:ind w:left="567" w:hanging="567"/>
        <w:contextualSpacing w:val="0"/>
        <w:jc w:val="both"/>
        <w:rPr>
          <w:rFonts w:ascii="Arial" w:hAnsi="Arial" w:cs="Arial"/>
        </w:rPr>
      </w:pPr>
      <w:r w:rsidRPr="00E07F80">
        <w:rPr>
          <w:rFonts w:ascii="Arial" w:hAnsi="Arial" w:cs="Arial"/>
          <w:b/>
          <w:bCs/>
          <w:kern w:val="0"/>
        </w:rPr>
        <w:t>Description of the assignment</w:t>
      </w:r>
      <w:r w:rsidR="00B203C2" w:rsidRPr="00E07F80">
        <w:rPr>
          <w:rFonts w:ascii="Arial" w:hAnsi="Arial" w:cs="Arial"/>
          <w:b/>
          <w:bCs/>
          <w:kern w:val="0"/>
        </w:rPr>
        <w:t xml:space="preserve"> </w:t>
      </w:r>
    </w:p>
    <w:p w14:paraId="19138051" w14:textId="77777777" w:rsidR="00FD002E" w:rsidRPr="00FD002E" w:rsidRDefault="00FD002E" w:rsidP="00FD002E">
      <w:pPr>
        <w:spacing w:after="120" w:line="360" w:lineRule="auto"/>
        <w:jc w:val="both"/>
        <w:rPr>
          <w:rFonts w:ascii="Arial" w:hAnsi="Arial" w:cs="Arial"/>
        </w:rPr>
      </w:pPr>
      <w:r w:rsidRPr="00FD002E">
        <w:rPr>
          <w:rFonts w:ascii="Arial" w:hAnsi="Arial" w:cs="Arial"/>
        </w:rPr>
        <w:t>In accordance with the Next Generation Action Plan for Railways, all Regional Partners are required to implement an electronic railway vehicle register within the European Vehicle Register (EVR) by Q4 2026. This assignment responds directly to that obligation and supports North Macedonia in fulfilling its commitments under the Interoperability Regulatory Area for rail transport.</w:t>
      </w:r>
    </w:p>
    <w:p w14:paraId="1C2E59D4" w14:textId="7C04DB9C" w:rsidR="00FD002E" w:rsidRPr="00FD002E" w:rsidRDefault="00FD002E" w:rsidP="00FD002E">
      <w:pPr>
        <w:spacing w:after="120" w:line="360" w:lineRule="auto"/>
        <w:jc w:val="both"/>
        <w:rPr>
          <w:rFonts w:ascii="Arial" w:hAnsi="Arial" w:cs="Arial"/>
        </w:rPr>
      </w:pPr>
      <w:r w:rsidRPr="00FD002E">
        <w:rPr>
          <w:rFonts w:ascii="Arial" w:hAnsi="Arial" w:cs="Arial"/>
        </w:rPr>
        <w:t xml:space="preserve">The </w:t>
      </w:r>
      <w:r w:rsidR="006A24D0">
        <w:rPr>
          <w:rFonts w:ascii="Arial" w:hAnsi="Arial" w:cs="Arial"/>
        </w:rPr>
        <w:t>Expert</w:t>
      </w:r>
      <w:r w:rsidRPr="00FD002E">
        <w:rPr>
          <w:rFonts w:ascii="Arial" w:hAnsi="Arial" w:cs="Arial"/>
        </w:rPr>
        <w:t xml:space="preserve"> will provide expert support to the competent national authorities and railway stakeholders in North Macedonia to ensure the structured, accurate, and timely transfer of national railway vehicle registration data to the EVR, in full alignment with the applicable EU legal, technical, and procedural requirements.</w:t>
      </w:r>
    </w:p>
    <w:p w14:paraId="3938C88C" w14:textId="77777777" w:rsidR="00FD002E" w:rsidRPr="00FD002E" w:rsidRDefault="00FD002E" w:rsidP="00FD002E">
      <w:pPr>
        <w:spacing w:after="120" w:line="360" w:lineRule="auto"/>
        <w:jc w:val="both"/>
        <w:rPr>
          <w:rFonts w:ascii="Arial" w:hAnsi="Arial" w:cs="Arial"/>
        </w:rPr>
      </w:pPr>
      <w:r w:rsidRPr="00FD002E">
        <w:rPr>
          <w:rFonts w:ascii="Arial" w:hAnsi="Arial" w:cs="Arial"/>
        </w:rPr>
        <w:t>This action is based on Annex I.2 – Rules applicable to Rail Transport in the Interoperability Regulatory Area, and is closely related to:</w:t>
      </w:r>
    </w:p>
    <w:p w14:paraId="527274FB" w14:textId="77777777" w:rsidR="00FD002E" w:rsidRPr="00FD002E" w:rsidRDefault="00FD002E" w:rsidP="00FD002E">
      <w:pPr>
        <w:numPr>
          <w:ilvl w:val="0"/>
          <w:numId w:val="8"/>
        </w:numPr>
        <w:spacing w:after="120" w:line="360" w:lineRule="auto"/>
        <w:jc w:val="both"/>
        <w:rPr>
          <w:rFonts w:ascii="Arial" w:hAnsi="Arial" w:cs="Arial"/>
        </w:rPr>
      </w:pPr>
      <w:r w:rsidRPr="00FD002E">
        <w:rPr>
          <w:rFonts w:ascii="Arial" w:hAnsi="Arial" w:cs="Arial"/>
        </w:rPr>
        <w:t>Directive (EU) 2016/797 of the European Parliament and of the Council of 11 May 2016 on the interoperability of the rail system within the European Union; and</w:t>
      </w:r>
    </w:p>
    <w:p w14:paraId="0BFE9E06" w14:textId="77777777" w:rsidR="00FD002E" w:rsidRPr="00FD002E" w:rsidRDefault="00FD002E" w:rsidP="00FD002E">
      <w:pPr>
        <w:numPr>
          <w:ilvl w:val="0"/>
          <w:numId w:val="8"/>
        </w:numPr>
        <w:spacing w:after="120" w:line="360" w:lineRule="auto"/>
        <w:jc w:val="both"/>
        <w:rPr>
          <w:rFonts w:ascii="Arial" w:hAnsi="Arial" w:cs="Arial"/>
        </w:rPr>
      </w:pPr>
      <w:r w:rsidRPr="00FD002E">
        <w:rPr>
          <w:rFonts w:ascii="Arial" w:hAnsi="Arial" w:cs="Arial"/>
        </w:rPr>
        <w:t>Commission Implementing Decision (EU) 2018/1614 of 25 October 2018 establishing specifications for vehicle registers and repealing Decision 2007/756/EC.</w:t>
      </w:r>
    </w:p>
    <w:p w14:paraId="74E16EE1" w14:textId="0E4F77C8" w:rsidR="005F06EA" w:rsidRPr="005F06EA" w:rsidRDefault="005F06EA" w:rsidP="005F06EA">
      <w:pPr>
        <w:spacing w:after="120" w:line="360" w:lineRule="auto"/>
        <w:jc w:val="both"/>
        <w:rPr>
          <w:rFonts w:ascii="Arial" w:hAnsi="Arial" w:cs="Arial"/>
        </w:rPr>
      </w:pPr>
      <w:r w:rsidRPr="005F06EA">
        <w:rPr>
          <w:rFonts w:ascii="Arial" w:hAnsi="Arial" w:cs="Arial"/>
        </w:rPr>
        <w:t xml:space="preserve">To address these needs, the Secretariat intends to engage a </w:t>
      </w:r>
      <w:r w:rsidRPr="005A7C71">
        <w:rPr>
          <w:rFonts w:ascii="Arial" w:hAnsi="Arial" w:cs="Arial"/>
          <w:b/>
        </w:rPr>
        <w:t>Locally Contracted Expert</w:t>
      </w:r>
      <w:r w:rsidRPr="005F06EA">
        <w:rPr>
          <w:rFonts w:ascii="Arial" w:hAnsi="Arial" w:cs="Arial"/>
        </w:rPr>
        <w:t xml:space="preserve"> to provide targeted technical </w:t>
      </w:r>
      <w:r w:rsidR="006A24D0">
        <w:rPr>
          <w:rFonts w:ascii="Arial" w:hAnsi="Arial" w:cs="Arial"/>
        </w:rPr>
        <w:t>Expert</w:t>
      </w:r>
      <w:r w:rsidRPr="005F06EA">
        <w:rPr>
          <w:rFonts w:ascii="Arial" w:hAnsi="Arial" w:cs="Arial"/>
        </w:rPr>
        <w:t xml:space="preserve"> support throughout the implementation.</w:t>
      </w:r>
    </w:p>
    <w:p w14:paraId="2945CF2A" w14:textId="1635BD8C" w:rsidR="0045015A" w:rsidRPr="00E07F80" w:rsidRDefault="005F06EA" w:rsidP="005F06EA">
      <w:pPr>
        <w:spacing w:after="120" w:line="360" w:lineRule="auto"/>
        <w:jc w:val="both"/>
        <w:rPr>
          <w:rFonts w:ascii="Arial" w:hAnsi="Arial" w:cs="Arial"/>
        </w:rPr>
      </w:pPr>
      <w:r w:rsidRPr="005F06EA">
        <w:rPr>
          <w:rFonts w:ascii="Arial" w:hAnsi="Arial" w:cs="Arial"/>
        </w:rPr>
        <w:lastRenderedPageBreak/>
        <w:t xml:space="preserve">The </w:t>
      </w:r>
      <w:r w:rsidRPr="00B977F1">
        <w:rPr>
          <w:rFonts w:ascii="Arial" w:hAnsi="Arial" w:cs="Arial"/>
          <w:b/>
          <w:bCs/>
        </w:rPr>
        <w:t>overall objective</w:t>
      </w:r>
      <w:r w:rsidRPr="005F06EA">
        <w:rPr>
          <w:rFonts w:ascii="Arial" w:hAnsi="Arial" w:cs="Arial"/>
        </w:rPr>
        <w:t xml:space="preserve"> </w:t>
      </w:r>
      <w:r w:rsidR="008E20B2">
        <w:rPr>
          <w:rFonts w:ascii="Arial" w:hAnsi="Arial" w:cs="Arial"/>
        </w:rPr>
        <w:t>is to</w:t>
      </w:r>
      <w:r w:rsidR="008E20B2" w:rsidRPr="008E20B2">
        <w:rPr>
          <w:rFonts w:ascii="Arial" w:hAnsi="Arial" w:cs="Arial"/>
        </w:rPr>
        <w:t xml:space="preserve"> support North Macedonia in achieving full operational participation in the European Vehicle Register by Q4 2026, ensuring that national railway vehicle registration data, processes, and responsibilities are fully aligned with EU interoperability requirements and EVR specifications.</w:t>
      </w:r>
    </w:p>
    <w:p w14:paraId="76293EEB" w14:textId="086303A8" w:rsidR="0045015A" w:rsidRPr="00E07F80" w:rsidRDefault="0045015A" w:rsidP="00E07F80">
      <w:pPr>
        <w:spacing w:after="120" w:line="360" w:lineRule="auto"/>
        <w:jc w:val="both"/>
        <w:rPr>
          <w:rFonts w:ascii="Arial" w:hAnsi="Arial" w:cs="Arial"/>
        </w:rPr>
      </w:pPr>
      <w:r w:rsidRPr="00E07F80">
        <w:rPr>
          <w:rFonts w:ascii="Arial" w:hAnsi="Arial" w:cs="Arial"/>
        </w:rPr>
        <w:t xml:space="preserve">The </w:t>
      </w:r>
      <w:r w:rsidRPr="00E07F80">
        <w:rPr>
          <w:rFonts w:ascii="Arial" w:hAnsi="Arial" w:cs="Arial"/>
          <w:b/>
          <w:bCs/>
        </w:rPr>
        <w:t>specific objectives</w:t>
      </w:r>
      <w:r w:rsidRPr="00E07F80">
        <w:rPr>
          <w:rFonts w:ascii="Arial" w:hAnsi="Arial" w:cs="Arial"/>
        </w:rPr>
        <w:t xml:space="preserve"> are to:</w:t>
      </w:r>
    </w:p>
    <w:p w14:paraId="7CE80DBD" w14:textId="77777777" w:rsidR="008E20B2" w:rsidRPr="008E20B2" w:rsidRDefault="008E20B2" w:rsidP="008E20B2">
      <w:pPr>
        <w:numPr>
          <w:ilvl w:val="0"/>
          <w:numId w:val="3"/>
        </w:numPr>
        <w:spacing w:after="120" w:line="360" w:lineRule="auto"/>
        <w:jc w:val="both"/>
        <w:rPr>
          <w:rFonts w:ascii="Arial" w:hAnsi="Arial" w:cs="Arial"/>
        </w:rPr>
      </w:pPr>
      <w:bookmarkStart w:id="3" w:name="_Hlk203558712"/>
      <w:r w:rsidRPr="008E20B2">
        <w:rPr>
          <w:rFonts w:ascii="Arial" w:hAnsi="Arial" w:cs="Arial"/>
        </w:rPr>
        <w:t>Enable the compliant migration of national railway vehicle data into the EVR.</w:t>
      </w:r>
    </w:p>
    <w:p w14:paraId="6D63FF6C" w14:textId="77777777" w:rsidR="008E20B2" w:rsidRPr="008E20B2" w:rsidRDefault="008E20B2" w:rsidP="008E20B2">
      <w:pPr>
        <w:numPr>
          <w:ilvl w:val="0"/>
          <w:numId w:val="3"/>
        </w:numPr>
        <w:spacing w:after="120" w:line="360" w:lineRule="auto"/>
        <w:jc w:val="both"/>
        <w:rPr>
          <w:rFonts w:ascii="Arial" w:hAnsi="Arial" w:cs="Arial"/>
        </w:rPr>
      </w:pPr>
      <w:r w:rsidRPr="008E20B2">
        <w:rPr>
          <w:rFonts w:ascii="Arial" w:hAnsi="Arial" w:cs="Arial"/>
        </w:rPr>
        <w:t>Align national legal, procedural, and technical arrangements with EU rules governing vehicle registration.</w:t>
      </w:r>
    </w:p>
    <w:p w14:paraId="4B9971E8" w14:textId="1E6159D0" w:rsidR="0045015A" w:rsidRDefault="008E20B2" w:rsidP="008E20B2">
      <w:pPr>
        <w:numPr>
          <w:ilvl w:val="0"/>
          <w:numId w:val="3"/>
        </w:numPr>
        <w:spacing w:after="120" w:line="360" w:lineRule="auto"/>
        <w:jc w:val="both"/>
        <w:rPr>
          <w:rFonts w:ascii="Arial" w:hAnsi="Arial" w:cs="Arial"/>
        </w:rPr>
      </w:pPr>
      <w:r w:rsidRPr="008E20B2">
        <w:rPr>
          <w:rFonts w:ascii="Arial" w:hAnsi="Arial" w:cs="Arial"/>
        </w:rPr>
        <w:t>Strengthen institutional capacity for sustainable EVR operation and data governance beyond the implementation period.</w:t>
      </w:r>
    </w:p>
    <w:bookmarkEnd w:id="3"/>
    <w:p w14:paraId="56AD5154" w14:textId="5F8411EA" w:rsidR="00617784" w:rsidRPr="00E07F80" w:rsidRDefault="00617784"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Scope of work</w:t>
      </w:r>
      <w:r w:rsidR="00E77172" w:rsidRPr="00E07F80">
        <w:rPr>
          <w:rFonts w:ascii="Arial" w:hAnsi="Arial" w:cs="Arial"/>
          <w:b/>
          <w:bCs/>
        </w:rPr>
        <w:t xml:space="preserve"> </w:t>
      </w:r>
    </w:p>
    <w:p w14:paraId="28E3A76D" w14:textId="39212ABE" w:rsidR="009B0C70" w:rsidRPr="00E07F80" w:rsidRDefault="00BA25FD" w:rsidP="00E07F80">
      <w:pPr>
        <w:spacing w:after="120" w:line="360" w:lineRule="auto"/>
        <w:jc w:val="both"/>
        <w:rPr>
          <w:rFonts w:ascii="Arial" w:hAnsi="Arial" w:cs="Arial"/>
        </w:rPr>
      </w:pPr>
      <w:r w:rsidRPr="00BA25FD">
        <w:rPr>
          <w:rFonts w:ascii="Arial" w:hAnsi="Arial" w:cs="Arial"/>
        </w:rPr>
        <w:t xml:space="preserve">The </w:t>
      </w:r>
      <w:r w:rsidR="006A24D0">
        <w:rPr>
          <w:rFonts w:ascii="Arial" w:hAnsi="Arial" w:cs="Arial"/>
        </w:rPr>
        <w:t>Expert</w:t>
      </w:r>
      <w:r w:rsidRPr="00BA25FD">
        <w:rPr>
          <w:rFonts w:ascii="Arial" w:hAnsi="Arial" w:cs="Arial"/>
        </w:rPr>
        <w:t xml:space="preserve"> shall work closely with the national safety authority, railway regulator, infrastructure manager, railway undertakings, and other relevant bodies to undertake the following tasks:</w:t>
      </w:r>
    </w:p>
    <w:p w14:paraId="79C1B223" w14:textId="4FEB8F57" w:rsidR="0075031B" w:rsidRPr="0075031B" w:rsidRDefault="0075031B" w:rsidP="0075031B">
      <w:pPr>
        <w:spacing w:after="120" w:line="360" w:lineRule="auto"/>
        <w:jc w:val="both"/>
        <w:rPr>
          <w:rFonts w:ascii="Arial" w:hAnsi="Arial" w:cs="Arial"/>
          <w:b/>
          <w:bCs/>
        </w:rPr>
      </w:pPr>
      <w:r>
        <w:rPr>
          <w:rFonts w:ascii="Arial" w:hAnsi="Arial" w:cs="Arial"/>
          <w:b/>
          <w:bCs/>
        </w:rPr>
        <w:t xml:space="preserve">Task </w:t>
      </w:r>
      <w:r w:rsidRPr="0075031B">
        <w:rPr>
          <w:rFonts w:ascii="Arial" w:hAnsi="Arial" w:cs="Arial"/>
          <w:b/>
          <w:bCs/>
        </w:rPr>
        <w:t>1. Baseline Assessment</w:t>
      </w:r>
    </w:p>
    <w:p w14:paraId="16DBDB95" w14:textId="77777777" w:rsidR="0075031B" w:rsidRPr="0075031B" w:rsidRDefault="0075031B" w:rsidP="0075031B">
      <w:pPr>
        <w:numPr>
          <w:ilvl w:val="0"/>
          <w:numId w:val="9"/>
        </w:numPr>
        <w:spacing w:after="120" w:line="360" w:lineRule="auto"/>
        <w:jc w:val="both"/>
        <w:rPr>
          <w:rFonts w:ascii="Arial" w:hAnsi="Arial" w:cs="Arial"/>
        </w:rPr>
      </w:pPr>
      <w:r w:rsidRPr="0075031B">
        <w:rPr>
          <w:rFonts w:ascii="Arial" w:hAnsi="Arial" w:cs="Arial"/>
        </w:rPr>
        <w:t>Review the existing national railway vehicle register, including legal basis, organisational responsibilities, IT systems, and data quality.</w:t>
      </w:r>
    </w:p>
    <w:p w14:paraId="0B83A824" w14:textId="77777777" w:rsidR="0075031B" w:rsidRPr="0075031B" w:rsidRDefault="0075031B" w:rsidP="0075031B">
      <w:pPr>
        <w:numPr>
          <w:ilvl w:val="0"/>
          <w:numId w:val="9"/>
        </w:numPr>
        <w:spacing w:after="120" w:line="360" w:lineRule="auto"/>
        <w:jc w:val="both"/>
        <w:rPr>
          <w:rFonts w:ascii="Arial" w:hAnsi="Arial" w:cs="Arial"/>
        </w:rPr>
      </w:pPr>
      <w:r w:rsidRPr="0075031B">
        <w:rPr>
          <w:rFonts w:ascii="Arial" w:hAnsi="Arial" w:cs="Arial"/>
        </w:rPr>
        <w:t>Assess compliance with EVR data models, common specifications, and interoperability requirements as defined by EU legislation.</w:t>
      </w:r>
    </w:p>
    <w:p w14:paraId="54D62BB8" w14:textId="77777777" w:rsidR="0075031B" w:rsidRPr="0075031B" w:rsidRDefault="0075031B" w:rsidP="0075031B">
      <w:pPr>
        <w:numPr>
          <w:ilvl w:val="0"/>
          <w:numId w:val="9"/>
        </w:numPr>
        <w:spacing w:after="120" w:line="360" w:lineRule="auto"/>
        <w:jc w:val="both"/>
        <w:rPr>
          <w:rFonts w:ascii="Arial" w:hAnsi="Arial" w:cs="Arial"/>
        </w:rPr>
      </w:pPr>
      <w:r w:rsidRPr="0075031B">
        <w:rPr>
          <w:rFonts w:ascii="Arial" w:hAnsi="Arial" w:cs="Arial"/>
        </w:rPr>
        <w:t>Identify gaps, risks, and priority actions required to meet the Q4 2026 deadline.</w:t>
      </w:r>
    </w:p>
    <w:p w14:paraId="375805FD" w14:textId="47DE05E2" w:rsidR="0075031B" w:rsidRPr="0075031B" w:rsidRDefault="00DE1029" w:rsidP="0075031B">
      <w:pPr>
        <w:spacing w:after="120" w:line="360" w:lineRule="auto"/>
        <w:jc w:val="both"/>
        <w:rPr>
          <w:rFonts w:ascii="Arial" w:hAnsi="Arial" w:cs="Arial"/>
          <w:b/>
          <w:bCs/>
        </w:rPr>
      </w:pPr>
      <w:r>
        <w:rPr>
          <w:rFonts w:ascii="Arial" w:hAnsi="Arial" w:cs="Arial"/>
          <w:b/>
          <w:bCs/>
        </w:rPr>
        <w:t xml:space="preserve">Task </w:t>
      </w:r>
      <w:r w:rsidR="0075031B" w:rsidRPr="0075031B">
        <w:rPr>
          <w:rFonts w:ascii="Arial" w:hAnsi="Arial" w:cs="Arial"/>
          <w:b/>
          <w:bCs/>
        </w:rPr>
        <w:t>2. Data Mapping and Alignment</w:t>
      </w:r>
    </w:p>
    <w:p w14:paraId="46EA9413" w14:textId="77777777" w:rsidR="0075031B" w:rsidRPr="0075031B" w:rsidRDefault="0075031B" w:rsidP="0075031B">
      <w:pPr>
        <w:numPr>
          <w:ilvl w:val="0"/>
          <w:numId w:val="10"/>
        </w:numPr>
        <w:spacing w:after="120" w:line="360" w:lineRule="auto"/>
        <w:jc w:val="both"/>
        <w:rPr>
          <w:rFonts w:ascii="Arial" w:hAnsi="Arial" w:cs="Arial"/>
        </w:rPr>
      </w:pPr>
      <w:r w:rsidRPr="0075031B">
        <w:rPr>
          <w:rFonts w:ascii="Arial" w:hAnsi="Arial" w:cs="Arial"/>
        </w:rPr>
        <w:t>Map national vehicle registration data fields to EVR-required attributes, including vehicle identification, technical characteristics, entity in charge of maintenance (ECM), ownership, and operational restrictions.</w:t>
      </w:r>
    </w:p>
    <w:p w14:paraId="303F7C96" w14:textId="77777777" w:rsidR="0075031B" w:rsidRDefault="0075031B" w:rsidP="0075031B">
      <w:pPr>
        <w:numPr>
          <w:ilvl w:val="0"/>
          <w:numId w:val="10"/>
        </w:numPr>
        <w:spacing w:after="120" w:line="360" w:lineRule="auto"/>
        <w:jc w:val="both"/>
        <w:rPr>
          <w:rFonts w:ascii="Arial" w:hAnsi="Arial" w:cs="Arial"/>
        </w:rPr>
      </w:pPr>
      <w:r w:rsidRPr="0075031B">
        <w:rPr>
          <w:rFonts w:ascii="Arial" w:hAnsi="Arial" w:cs="Arial"/>
        </w:rPr>
        <w:t>Propose solutions for missing, inconsistent, or legacy data, ensuring traceability and legal certainty.</w:t>
      </w:r>
    </w:p>
    <w:p w14:paraId="0E9B5E9C" w14:textId="0BD094DA" w:rsidR="0075031B" w:rsidRPr="0075031B" w:rsidRDefault="00DE1029" w:rsidP="0075031B">
      <w:pPr>
        <w:spacing w:after="120" w:line="360" w:lineRule="auto"/>
        <w:jc w:val="both"/>
        <w:rPr>
          <w:rFonts w:ascii="Arial" w:hAnsi="Arial" w:cs="Arial"/>
          <w:b/>
          <w:bCs/>
        </w:rPr>
      </w:pPr>
      <w:r>
        <w:rPr>
          <w:rFonts w:ascii="Arial" w:hAnsi="Arial" w:cs="Arial"/>
          <w:b/>
          <w:bCs/>
        </w:rPr>
        <w:t xml:space="preserve">Task </w:t>
      </w:r>
      <w:r w:rsidR="0075031B" w:rsidRPr="0075031B">
        <w:rPr>
          <w:rFonts w:ascii="Arial" w:hAnsi="Arial" w:cs="Arial"/>
          <w:b/>
          <w:bCs/>
        </w:rPr>
        <w:t>3. Support to Data Preparation and Migration</w:t>
      </w:r>
    </w:p>
    <w:p w14:paraId="79895186" w14:textId="77777777" w:rsidR="0075031B" w:rsidRPr="0075031B" w:rsidRDefault="0075031B" w:rsidP="0075031B">
      <w:pPr>
        <w:numPr>
          <w:ilvl w:val="0"/>
          <w:numId w:val="11"/>
        </w:numPr>
        <w:spacing w:after="120" w:line="360" w:lineRule="auto"/>
        <w:jc w:val="both"/>
        <w:rPr>
          <w:rFonts w:ascii="Arial" w:hAnsi="Arial" w:cs="Arial"/>
        </w:rPr>
      </w:pPr>
      <w:r w:rsidRPr="0075031B">
        <w:rPr>
          <w:rFonts w:ascii="Arial" w:hAnsi="Arial" w:cs="Arial"/>
        </w:rPr>
        <w:t>Support data cleansing, validation, and structuring in preparation for transfer to EVR.</w:t>
      </w:r>
    </w:p>
    <w:p w14:paraId="24096D21" w14:textId="77777777" w:rsidR="0075031B" w:rsidRPr="0075031B" w:rsidRDefault="0075031B" w:rsidP="0075031B">
      <w:pPr>
        <w:numPr>
          <w:ilvl w:val="0"/>
          <w:numId w:val="11"/>
        </w:numPr>
        <w:spacing w:after="120" w:line="360" w:lineRule="auto"/>
        <w:jc w:val="both"/>
        <w:rPr>
          <w:rFonts w:ascii="Arial" w:hAnsi="Arial" w:cs="Arial"/>
        </w:rPr>
      </w:pPr>
      <w:r w:rsidRPr="0075031B">
        <w:rPr>
          <w:rFonts w:ascii="Arial" w:hAnsi="Arial" w:cs="Arial"/>
        </w:rPr>
        <w:lastRenderedPageBreak/>
        <w:t>Assist with test uploads, error handling, and verification cycles within the EVR environment, in cooperation with the European Union Agency for Railways (ERA) where applicable.</w:t>
      </w:r>
    </w:p>
    <w:p w14:paraId="18AC50C0" w14:textId="52B4D89B" w:rsidR="0075031B" w:rsidRPr="0075031B" w:rsidRDefault="00DE1029" w:rsidP="0075031B">
      <w:pPr>
        <w:spacing w:after="120" w:line="360" w:lineRule="auto"/>
        <w:jc w:val="both"/>
        <w:rPr>
          <w:rFonts w:ascii="Arial" w:hAnsi="Arial" w:cs="Arial"/>
          <w:b/>
          <w:bCs/>
        </w:rPr>
      </w:pPr>
      <w:r>
        <w:rPr>
          <w:rFonts w:ascii="Arial" w:hAnsi="Arial" w:cs="Arial"/>
          <w:b/>
          <w:bCs/>
        </w:rPr>
        <w:t xml:space="preserve">Task </w:t>
      </w:r>
      <w:r w:rsidR="0075031B" w:rsidRPr="0075031B">
        <w:rPr>
          <w:rFonts w:ascii="Arial" w:hAnsi="Arial" w:cs="Arial"/>
          <w:b/>
          <w:bCs/>
        </w:rPr>
        <w:t>4. Procedural and Regulatory Alignment</w:t>
      </w:r>
    </w:p>
    <w:p w14:paraId="25A28D59" w14:textId="77777777" w:rsidR="0075031B" w:rsidRPr="0075031B" w:rsidRDefault="0075031B" w:rsidP="0075031B">
      <w:pPr>
        <w:numPr>
          <w:ilvl w:val="0"/>
          <w:numId w:val="12"/>
        </w:numPr>
        <w:spacing w:after="120" w:line="360" w:lineRule="auto"/>
        <w:jc w:val="both"/>
        <w:rPr>
          <w:rFonts w:ascii="Arial" w:hAnsi="Arial" w:cs="Arial"/>
        </w:rPr>
      </w:pPr>
      <w:r w:rsidRPr="0075031B">
        <w:rPr>
          <w:rFonts w:ascii="Arial" w:hAnsi="Arial" w:cs="Arial"/>
        </w:rPr>
        <w:t>Review national procedures for vehicle registration, modification, suspension, and withdrawal to ensure consistency with Directive (EU) 2016/797 and Implementing Decision (EU) 2018/1614.</w:t>
      </w:r>
    </w:p>
    <w:p w14:paraId="681560A1" w14:textId="77777777" w:rsidR="0075031B" w:rsidRPr="0075031B" w:rsidRDefault="0075031B" w:rsidP="0075031B">
      <w:pPr>
        <w:numPr>
          <w:ilvl w:val="0"/>
          <w:numId w:val="12"/>
        </w:numPr>
        <w:spacing w:after="120" w:line="360" w:lineRule="auto"/>
        <w:jc w:val="both"/>
        <w:rPr>
          <w:rFonts w:ascii="Arial" w:hAnsi="Arial" w:cs="Arial"/>
        </w:rPr>
      </w:pPr>
      <w:r w:rsidRPr="0075031B">
        <w:rPr>
          <w:rFonts w:ascii="Arial" w:hAnsi="Arial" w:cs="Arial"/>
        </w:rPr>
        <w:t>Advise on adjustments to internal workflows, responsibilities, and documentation required for EVR-compliant operation.</w:t>
      </w:r>
    </w:p>
    <w:p w14:paraId="1728DD67" w14:textId="6C62AE74" w:rsidR="0075031B" w:rsidRPr="0075031B" w:rsidRDefault="00DE1029" w:rsidP="0075031B">
      <w:pPr>
        <w:spacing w:after="120" w:line="360" w:lineRule="auto"/>
        <w:jc w:val="both"/>
        <w:rPr>
          <w:rFonts w:ascii="Arial" w:hAnsi="Arial" w:cs="Arial"/>
          <w:b/>
          <w:bCs/>
        </w:rPr>
      </w:pPr>
      <w:r>
        <w:rPr>
          <w:rFonts w:ascii="Arial" w:hAnsi="Arial" w:cs="Arial"/>
          <w:b/>
          <w:bCs/>
        </w:rPr>
        <w:t xml:space="preserve">Task </w:t>
      </w:r>
      <w:r w:rsidR="0075031B" w:rsidRPr="0075031B">
        <w:rPr>
          <w:rFonts w:ascii="Arial" w:hAnsi="Arial" w:cs="Arial"/>
          <w:b/>
          <w:bCs/>
        </w:rPr>
        <w:t>5. Capacity Building and Knowledge Transfer</w:t>
      </w:r>
    </w:p>
    <w:p w14:paraId="600AF258" w14:textId="77777777" w:rsidR="0075031B" w:rsidRPr="0075031B" w:rsidRDefault="0075031B" w:rsidP="0075031B">
      <w:pPr>
        <w:numPr>
          <w:ilvl w:val="0"/>
          <w:numId w:val="13"/>
        </w:numPr>
        <w:spacing w:after="120" w:line="360" w:lineRule="auto"/>
        <w:jc w:val="both"/>
        <w:rPr>
          <w:rFonts w:ascii="Arial" w:hAnsi="Arial" w:cs="Arial"/>
        </w:rPr>
      </w:pPr>
      <w:r w:rsidRPr="0075031B">
        <w:rPr>
          <w:rFonts w:ascii="Arial" w:hAnsi="Arial" w:cs="Arial"/>
        </w:rPr>
        <w:t>Develop practical guidance materials (process descriptions, checklists, or user instructions) to support long-term, sustainable EVR usage.</w:t>
      </w:r>
    </w:p>
    <w:p w14:paraId="1EFFF78E" w14:textId="296A717B" w:rsidR="0075031B" w:rsidRPr="0075031B" w:rsidRDefault="00DE1029" w:rsidP="0075031B">
      <w:pPr>
        <w:spacing w:after="120" w:line="360" w:lineRule="auto"/>
        <w:jc w:val="both"/>
        <w:rPr>
          <w:rFonts w:ascii="Arial" w:hAnsi="Arial" w:cs="Arial"/>
          <w:b/>
          <w:bCs/>
        </w:rPr>
      </w:pPr>
      <w:r>
        <w:rPr>
          <w:rFonts w:ascii="Arial" w:hAnsi="Arial" w:cs="Arial"/>
          <w:b/>
          <w:bCs/>
        </w:rPr>
        <w:t xml:space="preserve">Task </w:t>
      </w:r>
      <w:r w:rsidR="0075031B" w:rsidRPr="0075031B">
        <w:rPr>
          <w:rFonts w:ascii="Arial" w:hAnsi="Arial" w:cs="Arial"/>
          <w:b/>
          <w:bCs/>
        </w:rPr>
        <w:t>6. Reporting and Final Recommendations</w:t>
      </w:r>
    </w:p>
    <w:p w14:paraId="5CC8D767" w14:textId="77777777" w:rsidR="0075031B" w:rsidRPr="0075031B" w:rsidRDefault="0075031B" w:rsidP="0075031B">
      <w:pPr>
        <w:numPr>
          <w:ilvl w:val="0"/>
          <w:numId w:val="14"/>
        </w:numPr>
        <w:spacing w:after="120" w:line="360" w:lineRule="auto"/>
        <w:jc w:val="both"/>
        <w:rPr>
          <w:rFonts w:ascii="Arial" w:hAnsi="Arial" w:cs="Arial"/>
        </w:rPr>
      </w:pPr>
      <w:r w:rsidRPr="0075031B">
        <w:rPr>
          <w:rFonts w:ascii="Arial" w:hAnsi="Arial" w:cs="Arial"/>
        </w:rPr>
        <w:t>Provide regular progress updates highlighting achievements, challenges, and mitigation measures.</w:t>
      </w:r>
    </w:p>
    <w:p w14:paraId="1FFC7BF0" w14:textId="77777777" w:rsidR="0075031B" w:rsidRPr="0075031B" w:rsidRDefault="0075031B" w:rsidP="0075031B">
      <w:pPr>
        <w:numPr>
          <w:ilvl w:val="0"/>
          <w:numId w:val="14"/>
        </w:numPr>
        <w:spacing w:after="120" w:line="360" w:lineRule="auto"/>
        <w:jc w:val="both"/>
        <w:rPr>
          <w:rFonts w:ascii="Arial" w:hAnsi="Arial" w:cs="Arial"/>
        </w:rPr>
      </w:pPr>
      <w:r w:rsidRPr="0075031B">
        <w:rPr>
          <w:rFonts w:ascii="Arial" w:hAnsi="Arial" w:cs="Arial"/>
        </w:rPr>
        <w:t>Prepare a final report summarising the alignment status, readiness for full EVR operation by Q4 2026, and recommendations for any remaining follow-up actions.</w:t>
      </w:r>
    </w:p>
    <w:p w14:paraId="26D58F8D" w14:textId="12917CD3" w:rsidR="00F73B8C" w:rsidRPr="00E07F80" w:rsidRDefault="00617784"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Deliverables</w:t>
      </w:r>
    </w:p>
    <w:p w14:paraId="1D16E840" w14:textId="77777777" w:rsidR="00F75A83" w:rsidRDefault="00F75A83" w:rsidP="00C85253">
      <w:pPr>
        <w:pStyle w:val="ListParagraph"/>
        <w:spacing w:after="120" w:line="360" w:lineRule="auto"/>
        <w:ind w:left="0"/>
        <w:contextualSpacing w:val="0"/>
        <w:jc w:val="both"/>
        <w:rPr>
          <w:rFonts w:ascii="Arial" w:hAnsi="Arial" w:cs="Arial"/>
        </w:rPr>
      </w:pPr>
      <w:r w:rsidRPr="00E07F80">
        <w:rPr>
          <w:rFonts w:ascii="Arial" w:hAnsi="Arial" w:cs="Arial"/>
        </w:rPr>
        <w:t xml:space="preserve">The expected deliverables are: </w:t>
      </w:r>
    </w:p>
    <w:p w14:paraId="12D8AD7A" w14:textId="77777777" w:rsidR="00F75A83" w:rsidRPr="005B73F3" w:rsidRDefault="00F75A83" w:rsidP="005B73F3">
      <w:pPr>
        <w:pStyle w:val="ListParagraph"/>
        <w:numPr>
          <w:ilvl w:val="0"/>
          <w:numId w:val="16"/>
        </w:numPr>
        <w:spacing w:after="120" w:line="360" w:lineRule="auto"/>
        <w:jc w:val="both"/>
        <w:rPr>
          <w:rFonts w:ascii="Arial" w:hAnsi="Arial" w:cs="Arial"/>
        </w:rPr>
      </w:pPr>
      <w:r w:rsidRPr="005B73F3">
        <w:rPr>
          <w:rFonts w:ascii="Arial" w:hAnsi="Arial" w:cs="Arial"/>
        </w:rPr>
        <w:t>National railway vehicle registration data successfully transferred and validated within the EVR.</w:t>
      </w:r>
    </w:p>
    <w:p w14:paraId="1D83ED13" w14:textId="5D636369" w:rsidR="00F75A83" w:rsidRPr="005B73F3" w:rsidRDefault="00325EC7" w:rsidP="005B73F3">
      <w:pPr>
        <w:pStyle w:val="ListParagraph"/>
        <w:numPr>
          <w:ilvl w:val="0"/>
          <w:numId w:val="16"/>
        </w:numPr>
        <w:spacing w:after="120" w:line="360" w:lineRule="auto"/>
        <w:jc w:val="both"/>
        <w:rPr>
          <w:rFonts w:ascii="Arial" w:hAnsi="Arial" w:cs="Arial"/>
        </w:rPr>
      </w:pPr>
      <w:r>
        <w:rPr>
          <w:rFonts w:ascii="Arial" w:hAnsi="Arial" w:cs="Arial"/>
        </w:rPr>
        <w:t>Drafted n</w:t>
      </w:r>
      <w:r w:rsidR="00F75A83" w:rsidRPr="005B73F3">
        <w:rPr>
          <w:rFonts w:ascii="Arial" w:hAnsi="Arial" w:cs="Arial"/>
        </w:rPr>
        <w:t>ational procedures, roles, and responsibilities aligned with EU interoperability and EVR requirements</w:t>
      </w:r>
      <w:r w:rsidR="00FC5642">
        <w:rPr>
          <w:rFonts w:ascii="Arial" w:hAnsi="Arial" w:cs="Arial"/>
        </w:rPr>
        <w:t xml:space="preserve"> if needed</w:t>
      </w:r>
      <w:r w:rsidR="00F75A83" w:rsidRPr="005B73F3">
        <w:rPr>
          <w:rFonts w:ascii="Arial" w:hAnsi="Arial" w:cs="Arial"/>
        </w:rPr>
        <w:t>.</w:t>
      </w:r>
    </w:p>
    <w:p w14:paraId="692ABDE1" w14:textId="2AF86DF7" w:rsidR="00F75A83" w:rsidRDefault="00325EC7" w:rsidP="005B73F3">
      <w:pPr>
        <w:pStyle w:val="ListParagraph"/>
        <w:numPr>
          <w:ilvl w:val="0"/>
          <w:numId w:val="16"/>
        </w:numPr>
        <w:spacing w:after="120" w:line="360" w:lineRule="auto"/>
        <w:jc w:val="both"/>
        <w:rPr>
          <w:rFonts w:ascii="Arial" w:hAnsi="Arial" w:cs="Arial"/>
        </w:rPr>
      </w:pPr>
      <w:r>
        <w:rPr>
          <w:rFonts w:ascii="Arial" w:hAnsi="Arial" w:cs="Arial"/>
        </w:rPr>
        <w:t xml:space="preserve">Drafted </w:t>
      </w:r>
      <w:r w:rsidRPr="0075031B">
        <w:rPr>
          <w:rFonts w:ascii="Arial" w:hAnsi="Arial" w:cs="Arial"/>
        </w:rPr>
        <w:t>a final report summarising the alignment status, and recommendations for any remaining follow-up actions</w:t>
      </w:r>
      <w:r w:rsidR="00F75A83" w:rsidRPr="005B73F3">
        <w:rPr>
          <w:rFonts w:ascii="Arial" w:hAnsi="Arial" w:cs="Arial"/>
        </w:rPr>
        <w:t>.</w:t>
      </w:r>
    </w:p>
    <w:p w14:paraId="07FC9EE4" w14:textId="5591CDB6"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 xml:space="preserve">Qualifications </w:t>
      </w:r>
      <w:r w:rsidR="00F541EB" w:rsidRPr="00E07F80">
        <w:rPr>
          <w:rFonts w:ascii="Arial" w:hAnsi="Arial" w:cs="Arial"/>
          <w:b/>
          <w:bCs/>
        </w:rPr>
        <w:t>and exclusion criteria</w:t>
      </w:r>
    </w:p>
    <w:p w14:paraId="56C1F01E" w14:textId="77777777" w:rsidR="008D5228" w:rsidRDefault="00A21F7D" w:rsidP="008D5228">
      <w:pPr>
        <w:pStyle w:val="ListParagraph"/>
        <w:numPr>
          <w:ilvl w:val="0"/>
          <w:numId w:val="7"/>
        </w:numPr>
        <w:spacing w:after="120" w:line="360" w:lineRule="auto"/>
        <w:ind w:left="567" w:hanging="567"/>
        <w:contextualSpacing w:val="0"/>
        <w:jc w:val="both"/>
        <w:rPr>
          <w:rFonts w:ascii="Arial" w:eastAsia="Times New Roman" w:hAnsi="Arial" w:cs="Arial"/>
        </w:rPr>
      </w:pPr>
      <w:r w:rsidRPr="00E07F80">
        <w:rPr>
          <w:rFonts w:ascii="Arial" w:eastAsia="Times New Roman" w:hAnsi="Arial" w:cs="Arial"/>
        </w:rPr>
        <w:t xml:space="preserve">A university degree (minimum 4 years) in </w:t>
      </w:r>
      <w:bookmarkStart w:id="4" w:name="_Hlk203558508"/>
      <w:r w:rsidR="007240EF" w:rsidRPr="00E07F80">
        <w:rPr>
          <w:rFonts w:ascii="Arial" w:eastAsia="Times New Roman" w:hAnsi="Arial" w:cs="Arial"/>
        </w:rPr>
        <w:t>Information Technology, Computer Science, Transport Engineering,</w:t>
      </w:r>
      <w:r w:rsidR="00C21312">
        <w:rPr>
          <w:rFonts w:ascii="Arial" w:eastAsia="Times New Roman" w:hAnsi="Arial" w:cs="Arial"/>
        </w:rPr>
        <w:t xml:space="preserve"> Mechanical Engineering</w:t>
      </w:r>
      <w:r w:rsidR="007240EF" w:rsidRPr="00E07F80">
        <w:rPr>
          <w:rFonts w:ascii="Arial" w:eastAsia="Times New Roman" w:hAnsi="Arial" w:cs="Arial"/>
        </w:rPr>
        <w:t xml:space="preserve"> </w:t>
      </w:r>
      <w:r w:rsidRPr="00E07F80">
        <w:rPr>
          <w:rFonts w:ascii="Arial" w:eastAsia="Times New Roman" w:hAnsi="Arial" w:cs="Arial"/>
        </w:rPr>
        <w:t xml:space="preserve">or a closely related field </w:t>
      </w:r>
      <w:bookmarkEnd w:id="4"/>
      <w:r w:rsidRPr="00E07F80">
        <w:rPr>
          <w:rFonts w:ascii="Arial" w:eastAsia="Times New Roman" w:hAnsi="Arial" w:cs="Arial"/>
        </w:rPr>
        <w:t>is required.</w:t>
      </w:r>
    </w:p>
    <w:p w14:paraId="35FE28EA" w14:textId="5404C9E3" w:rsidR="008D5228" w:rsidRPr="008D5228" w:rsidRDefault="008D5228" w:rsidP="008D5228">
      <w:pPr>
        <w:pStyle w:val="ListParagraph"/>
        <w:numPr>
          <w:ilvl w:val="0"/>
          <w:numId w:val="7"/>
        </w:numPr>
        <w:spacing w:after="120" w:line="360" w:lineRule="auto"/>
        <w:ind w:left="567" w:hanging="567"/>
        <w:contextualSpacing w:val="0"/>
        <w:jc w:val="both"/>
        <w:rPr>
          <w:rFonts w:ascii="Arial" w:eastAsia="Times New Roman" w:hAnsi="Arial" w:cs="Arial"/>
        </w:rPr>
      </w:pPr>
      <w:r w:rsidRPr="008D5228">
        <w:rPr>
          <w:rFonts w:ascii="Arial" w:eastAsia="Times New Roman" w:hAnsi="Arial" w:cs="Arial"/>
        </w:rPr>
        <w:lastRenderedPageBreak/>
        <w:t>Experience in alignment of data from national vehicles registers to the EVR is required.</w:t>
      </w:r>
    </w:p>
    <w:p w14:paraId="7D47FFF9" w14:textId="286D0191" w:rsidR="00984A09" w:rsidRPr="00E07F80" w:rsidRDefault="00984A09" w:rsidP="00005CD7">
      <w:pPr>
        <w:pStyle w:val="ListParagraph"/>
        <w:numPr>
          <w:ilvl w:val="0"/>
          <w:numId w:val="7"/>
        </w:numPr>
        <w:spacing w:after="120" w:line="360" w:lineRule="auto"/>
        <w:ind w:left="567" w:hanging="567"/>
        <w:contextualSpacing w:val="0"/>
        <w:jc w:val="both"/>
        <w:rPr>
          <w:rFonts w:ascii="Arial" w:eastAsia="Times New Roman" w:hAnsi="Arial" w:cs="Arial"/>
        </w:rPr>
      </w:pPr>
      <w:r w:rsidRPr="00E07F80">
        <w:rPr>
          <w:rFonts w:ascii="Arial" w:eastAsia="Times New Roman" w:hAnsi="Arial" w:cs="Arial"/>
        </w:rPr>
        <w:t>Any professional working in the end</w:t>
      </w:r>
      <w:r w:rsidR="00354371" w:rsidRPr="00E07F80">
        <w:rPr>
          <w:rFonts w:ascii="Arial" w:eastAsia="Times New Roman" w:hAnsi="Arial" w:cs="Arial"/>
        </w:rPr>
        <w:t>-</w:t>
      </w:r>
      <w:r w:rsidRPr="00E07F80">
        <w:rPr>
          <w:rFonts w:ascii="Arial" w:eastAsia="Times New Roman" w:hAnsi="Arial" w:cs="Arial"/>
        </w:rPr>
        <w:t xml:space="preserve">beneficiary institution </w:t>
      </w:r>
      <w:r w:rsidR="00730A80" w:rsidRPr="00E07F80">
        <w:rPr>
          <w:rFonts w:ascii="Arial" w:eastAsia="Times New Roman" w:hAnsi="Arial" w:cs="Arial"/>
        </w:rPr>
        <w:t>is</w:t>
      </w:r>
      <w:r w:rsidRPr="00E07F80">
        <w:rPr>
          <w:rFonts w:ascii="Arial" w:eastAsia="Times New Roman" w:hAnsi="Arial" w:cs="Arial"/>
        </w:rPr>
        <w:t xml:space="preserve"> </w:t>
      </w:r>
      <w:r w:rsidR="00AA2786" w:rsidRPr="00E07F80">
        <w:rPr>
          <w:rFonts w:ascii="Arial" w:eastAsia="Times New Roman" w:hAnsi="Arial" w:cs="Arial"/>
        </w:rPr>
        <w:t>ineligible</w:t>
      </w:r>
      <w:r w:rsidR="008A13AF" w:rsidRPr="00E07F80">
        <w:rPr>
          <w:rFonts w:ascii="Arial" w:eastAsia="Times New Roman" w:hAnsi="Arial" w:cs="Arial"/>
        </w:rPr>
        <w:t xml:space="preserve"> to apply</w:t>
      </w:r>
      <w:r w:rsidRPr="00E07F80">
        <w:rPr>
          <w:rFonts w:ascii="Arial" w:eastAsia="Times New Roman" w:hAnsi="Arial" w:cs="Arial"/>
        </w:rPr>
        <w:t>.</w:t>
      </w:r>
    </w:p>
    <w:p w14:paraId="68FA6DF7" w14:textId="2F9CA0F0"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 xml:space="preserve">Work experience </w:t>
      </w:r>
    </w:p>
    <w:p w14:paraId="343DDA6D" w14:textId="2FD9B5BC" w:rsidR="00EA3FE5" w:rsidRDefault="00EA3FE5" w:rsidP="00005CD7">
      <w:pPr>
        <w:pStyle w:val="ListParagraph"/>
        <w:numPr>
          <w:ilvl w:val="0"/>
          <w:numId w:val="2"/>
        </w:numPr>
        <w:spacing w:after="120" w:line="360" w:lineRule="auto"/>
        <w:ind w:left="567" w:hanging="567"/>
        <w:contextualSpacing w:val="0"/>
        <w:jc w:val="both"/>
        <w:rPr>
          <w:rFonts w:ascii="Arial" w:eastAsia="Times New Roman" w:hAnsi="Arial" w:cs="Arial"/>
        </w:rPr>
      </w:pPr>
      <w:r w:rsidRPr="00E07F80">
        <w:rPr>
          <w:rFonts w:ascii="Arial" w:eastAsia="Times New Roman" w:hAnsi="Arial" w:cs="Arial"/>
        </w:rPr>
        <w:t xml:space="preserve">A minimum of </w:t>
      </w:r>
      <w:r w:rsidR="00F92DB0">
        <w:rPr>
          <w:rFonts w:ascii="Arial" w:eastAsia="Times New Roman" w:hAnsi="Arial" w:cs="Arial"/>
          <w:b/>
          <w:bCs/>
        </w:rPr>
        <w:t>4</w:t>
      </w:r>
      <w:r w:rsidRPr="00E07F80">
        <w:rPr>
          <w:rFonts w:ascii="Arial" w:eastAsia="Times New Roman" w:hAnsi="Arial" w:cs="Arial"/>
          <w:b/>
          <w:bCs/>
        </w:rPr>
        <w:t xml:space="preserve"> (</w:t>
      </w:r>
      <w:r w:rsidR="00F92DB0">
        <w:rPr>
          <w:rFonts w:ascii="Arial" w:eastAsia="Times New Roman" w:hAnsi="Arial" w:cs="Arial"/>
          <w:b/>
          <w:bCs/>
        </w:rPr>
        <w:t>4</w:t>
      </w:r>
      <w:r w:rsidRPr="00E07F80">
        <w:rPr>
          <w:rFonts w:ascii="Arial" w:eastAsia="Times New Roman" w:hAnsi="Arial" w:cs="Arial"/>
          <w:b/>
          <w:bCs/>
        </w:rPr>
        <w:t>) years of professional experience</w:t>
      </w:r>
      <w:r w:rsidRPr="00E07F80">
        <w:rPr>
          <w:rFonts w:ascii="Arial" w:eastAsia="Times New Roman" w:hAnsi="Arial" w:cs="Arial"/>
        </w:rPr>
        <w:t xml:space="preserve"> </w:t>
      </w:r>
      <w:r w:rsidR="00D43F32" w:rsidRPr="00D43F32">
        <w:rPr>
          <w:rFonts w:ascii="Arial" w:eastAsia="Times New Roman" w:hAnsi="Arial" w:cs="Arial"/>
        </w:rPr>
        <w:t xml:space="preserve">in the </w:t>
      </w:r>
      <w:r w:rsidR="00F92DB0">
        <w:rPr>
          <w:rFonts w:ascii="Arial" w:eastAsia="Times New Roman" w:hAnsi="Arial" w:cs="Arial"/>
        </w:rPr>
        <w:t>railway vehicles registers or similar tasks</w:t>
      </w:r>
      <w:r w:rsidR="00D43F32" w:rsidRPr="00D43F32">
        <w:rPr>
          <w:rFonts w:ascii="Arial" w:eastAsia="Times New Roman" w:hAnsi="Arial" w:cs="Arial"/>
        </w:rPr>
        <w:t>, preferably in the transport, mobility, or infrastructure sectors</w:t>
      </w:r>
      <w:r w:rsidRPr="00E07F80">
        <w:rPr>
          <w:rFonts w:ascii="Arial" w:eastAsia="Times New Roman" w:hAnsi="Arial" w:cs="Arial"/>
        </w:rPr>
        <w:t>.</w:t>
      </w:r>
    </w:p>
    <w:p w14:paraId="59A059D3" w14:textId="2871E124" w:rsidR="00220732" w:rsidRDefault="009F0592" w:rsidP="00005CD7">
      <w:pPr>
        <w:pStyle w:val="ListParagraph"/>
        <w:numPr>
          <w:ilvl w:val="0"/>
          <w:numId w:val="2"/>
        </w:numPr>
        <w:spacing w:after="120" w:line="360" w:lineRule="auto"/>
        <w:ind w:left="567" w:hanging="567"/>
        <w:contextualSpacing w:val="0"/>
        <w:jc w:val="both"/>
        <w:rPr>
          <w:rFonts w:ascii="Arial" w:eastAsia="Times New Roman" w:hAnsi="Arial" w:cs="Arial"/>
        </w:rPr>
      </w:pPr>
      <w:r w:rsidRPr="009F0592">
        <w:rPr>
          <w:rFonts w:ascii="Arial" w:eastAsia="Times New Roman" w:hAnsi="Arial" w:cs="Arial"/>
        </w:rPr>
        <w:t xml:space="preserve">Experience in </w:t>
      </w:r>
      <w:r w:rsidR="0068613A">
        <w:rPr>
          <w:rFonts w:ascii="Arial" w:eastAsia="Times New Roman" w:hAnsi="Arial" w:cs="Arial"/>
        </w:rPr>
        <w:t>alignment of data from national vehicles registers to the EVR</w:t>
      </w:r>
      <w:r w:rsidR="00DA3AB4">
        <w:rPr>
          <w:rFonts w:ascii="Arial" w:eastAsia="Times New Roman" w:hAnsi="Arial" w:cs="Arial"/>
        </w:rPr>
        <w:t>.</w:t>
      </w:r>
    </w:p>
    <w:p w14:paraId="43F1F947" w14:textId="11E35AF5" w:rsidR="00DA3AB4" w:rsidRPr="00FC5FAC" w:rsidRDefault="00BF7B2A" w:rsidP="00005CD7">
      <w:pPr>
        <w:pStyle w:val="ListParagraph"/>
        <w:numPr>
          <w:ilvl w:val="0"/>
          <w:numId w:val="2"/>
        </w:numPr>
        <w:spacing w:after="120" w:line="360" w:lineRule="auto"/>
        <w:ind w:left="567" w:hanging="567"/>
        <w:contextualSpacing w:val="0"/>
        <w:jc w:val="both"/>
        <w:rPr>
          <w:rFonts w:ascii="Arial" w:eastAsia="Times New Roman" w:hAnsi="Arial" w:cs="Arial"/>
        </w:rPr>
      </w:pPr>
      <w:r w:rsidRPr="00BF7B2A">
        <w:rPr>
          <w:rFonts w:ascii="Arial" w:eastAsia="Times New Roman" w:hAnsi="Arial" w:cs="Arial"/>
        </w:rPr>
        <w:t>Experience in working in the Western Balkan environment or EU / EU pre-accession countries</w:t>
      </w:r>
      <w:r w:rsidR="00DA3AB4">
        <w:rPr>
          <w:rFonts w:ascii="Arial" w:eastAsia="Times New Roman" w:hAnsi="Arial" w:cs="Arial"/>
        </w:rPr>
        <w:t>.</w:t>
      </w:r>
    </w:p>
    <w:p w14:paraId="7F40EF5E" w14:textId="77777777" w:rsidR="0074501F" w:rsidRDefault="0074501F" w:rsidP="0074501F">
      <w:pPr>
        <w:spacing w:after="120" w:line="360" w:lineRule="auto"/>
        <w:jc w:val="both"/>
        <w:rPr>
          <w:rFonts w:ascii="Arial" w:eastAsia="Times New Roman" w:hAnsi="Arial" w:cs="Arial"/>
        </w:rPr>
      </w:pPr>
      <w:r w:rsidRPr="0074501F">
        <w:rPr>
          <w:rFonts w:ascii="Arial" w:eastAsia="Times New Roman" w:hAnsi="Arial" w:cs="Arial"/>
          <w:u w:val="single"/>
        </w:rPr>
        <w:t>Reference letters/contracts confirming the professional experience should be included in the Technical Offer</w:t>
      </w:r>
      <w:r w:rsidRPr="0074501F">
        <w:rPr>
          <w:rFonts w:ascii="Arial" w:eastAsia="Times New Roman" w:hAnsi="Arial" w:cs="Arial"/>
        </w:rPr>
        <w:t>.</w:t>
      </w:r>
    </w:p>
    <w:p w14:paraId="6FBA1AFF" w14:textId="087F817E" w:rsidR="00FE79E9" w:rsidRPr="000E554E" w:rsidRDefault="00FE79E9" w:rsidP="00005CD7">
      <w:pPr>
        <w:pStyle w:val="ListParagraph"/>
        <w:numPr>
          <w:ilvl w:val="0"/>
          <w:numId w:val="1"/>
        </w:numPr>
        <w:spacing w:after="120" w:line="360" w:lineRule="auto"/>
        <w:ind w:left="567" w:hanging="567"/>
        <w:contextualSpacing w:val="0"/>
        <w:jc w:val="both"/>
        <w:rPr>
          <w:rFonts w:ascii="Arial" w:hAnsi="Arial" w:cs="Arial"/>
          <w:b/>
          <w:bCs/>
        </w:rPr>
      </w:pPr>
      <w:r w:rsidRPr="000E554E">
        <w:rPr>
          <w:rFonts w:ascii="Arial" w:hAnsi="Arial" w:cs="Arial"/>
          <w:b/>
          <w:bCs/>
        </w:rPr>
        <w:t>Languages</w:t>
      </w:r>
    </w:p>
    <w:p w14:paraId="1E4442D2" w14:textId="181FF766" w:rsidR="007C72F7" w:rsidRDefault="00DC322A" w:rsidP="00DC322A">
      <w:pPr>
        <w:spacing w:after="120" w:line="360" w:lineRule="auto"/>
        <w:ind w:left="567"/>
        <w:jc w:val="both"/>
        <w:rPr>
          <w:rFonts w:ascii="Arial" w:eastAsia="Times New Roman" w:hAnsi="Arial" w:cs="Arial"/>
        </w:rPr>
      </w:pPr>
      <w:r>
        <w:rPr>
          <w:rFonts w:ascii="Arial" w:eastAsia="Times New Roman" w:hAnsi="Arial" w:cs="Arial"/>
        </w:rPr>
        <w:t>The working language is</w:t>
      </w:r>
      <w:r w:rsidR="00E24397" w:rsidRPr="000E554E">
        <w:rPr>
          <w:rFonts w:ascii="Arial" w:eastAsia="Times New Roman" w:hAnsi="Arial" w:cs="Arial"/>
        </w:rPr>
        <w:t xml:space="preserve"> English</w:t>
      </w:r>
      <w:r>
        <w:rPr>
          <w:rFonts w:ascii="Arial" w:eastAsia="Times New Roman" w:hAnsi="Arial" w:cs="Arial"/>
        </w:rPr>
        <w:t>.</w:t>
      </w:r>
      <w:r w:rsidR="00FE79E9" w:rsidRPr="000E554E">
        <w:rPr>
          <w:rFonts w:ascii="Arial" w:eastAsia="Times New Roman" w:hAnsi="Arial" w:cs="Arial"/>
        </w:rPr>
        <w:t xml:space="preserve"> </w:t>
      </w:r>
    </w:p>
    <w:p w14:paraId="71D6B745" w14:textId="79DD9FE7"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rPr>
      </w:pPr>
      <w:r w:rsidRPr="00E07F80">
        <w:rPr>
          <w:rFonts w:ascii="Arial" w:hAnsi="Arial" w:cs="Arial"/>
          <w:b/>
          <w:bCs/>
          <w:kern w:val="0"/>
        </w:rPr>
        <w:t>Timing and Location</w:t>
      </w:r>
    </w:p>
    <w:p w14:paraId="155EBC80" w14:textId="16F6DDBF" w:rsidR="003D05C6" w:rsidRDefault="00DF739B" w:rsidP="00C85253">
      <w:pPr>
        <w:spacing w:after="120" w:line="360" w:lineRule="auto"/>
        <w:jc w:val="both"/>
        <w:rPr>
          <w:rFonts w:ascii="Arial" w:hAnsi="Arial" w:cs="Arial"/>
        </w:rPr>
      </w:pPr>
      <w:r w:rsidRPr="00C85253">
        <w:rPr>
          <w:rFonts w:ascii="Arial" w:hAnsi="Arial" w:cs="Arial"/>
        </w:rPr>
        <w:t>The assignment foresees work from home</w:t>
      </w:r>
      <w:r w:rsidR="003D05C6" w:rsidRPr="00C85253">
        <w:rPr>
          <w:rFonts w:ascii="Arial" w:hAnsi="Arial" w:cs="Arial"/>
        </w:rPr>
        <w:t>/</w:t>
      </w:r>
      <w:r w:rsidR="00C15099" w:rsidRPr="00C85253">
        <w:rPr>
          <w:rFonts w:ascii="Arial" w:hAnsi="Arial" w:cs="Arial"/>
        </w:rPr>
        <w:t xml:space="preserve">online or </w:t>
      </w:r>
      <w:r w:rsidR="00DC322A">
        <w:rPr>
          <w:rFonts w:ascii="Arial" w:hAnsi="Arial" w:cs="Arial"/>
        </w:rPr>
        <w:t>if needs arise in the premises of</w:t>
      </w:r>
      <w:r w:rsidR="0068613A">
        <w:rPr>
          <w:rFonts w:ascii="Arial" w:hAnsi="Arial" w:cs="Arial"/>
        </w:rPr>
        <w:t xml:space="preserve"> end-beneficiary </w:t>
      </w:r>
      <w:r w:rsidR="00B16F0B">
        <w:rPr>
          <w:rFonts w:ascii="Arial" w:hAnsi="Arial" w:cs="Arial"/>
        </w:rPr>
        <w:t>institution in Skopje</w:t>
      </w:r>
      <w:r w:rsidR="00DC322A">
        <w:rPr>
          <w:rFonts w:ascii="Arial" w:hAnsi="Arial" w:cs="Arial"/>
        </w:rPr>
        <w:t>.</w:t>
      </w:r>
      <w:r w:rsidRPr="00C85253">
        <w:rPr>
          <w:rFonts w:ascii="Arial" w:hAnsi="Arial" w:cs="Arial"/>
        </w:rPr>
        <w:t xml:space="preserve"> The assignment is expected to start </w:t>
      </w:r>
      <w:r w:rsidR="00200E89" w:rsidRPr="00C85253">
        <w:rPr>
          <w:rFonts w:ascii="Arial" w:hAnsi="Arial" w:cs="Arial"/>
        </w:rPr>
        <w:t xml:space="preserve">in </w:t>
      </w:r>
      <w:r w:rsidR="00B16F0B">
        <w:rPr>
          <w:rFonts w:ascii="Arial" w:hAnsi="Arial" w:cs="Arial"/>
        </w:rPr>
        <w:t>August</w:t>
      </w:r>
      <w:r w:rsidR="003069D4" w:rsidRPr="00C85253">
        <w:rPr>
          <w:rFonts w:ascii="Arial" w:hAnsi="Arial" w:cs="Arial"/>
        </w:rPr>
        <w:t xml:space="preserve"> 202</w:t>
      </w:r>
      <w:r w:rsidR="00DC322A">
        <w:rPr>
          <w:rFonts w:ascii="Arial" w:hAnsi="Arial" w:cs="Arial"/>
        </w:rPr>
        <w:t>6</w:t>
      </w:r>
      <w:r w:rsidR="003069D4" w:rsidRPr="00C85253">
        <w:rPr>
          <w:rFonts w:ascii="Arial" w:hAnsi="Arial" w:cs="Arial"/>
        </w:rPr>
        <w:t>.</w:t>
      </w:r>
      <w:r w:rsidR="003D05C6" w:rsidRPr="00C85253">
        <w:rPr>
          <w:rFonts w:ascii="Arial" w:hAnsi="Arial" w:cs="Arial"/>
        </w:rPr>
        <w:t xml:space="preserve"> </w:t>
      </w:r>
    </w:p>
    <w:p w14:paraId="33771297" w14:textId="5EA1B4C8" w:rsidR="00FE79E9" w:rsidRPr="00E07F80" w:rsidRDefault="00FE79E9" w:rsidP="00005CD7">
      <w:pPr>
        <w:pStyle w:val="ListParagraph"/>
        <w:numPr>
          <w:ilvl w:val="0"/>
          <w:numId w:val="1"/>
        </w:numPr>
        <w:spacing w:after="120" w:line="360" w:lineRule="auto"/>
        <w:ind w:left="567" w:hanging="567"/>
        <w:contextualSpacing w:val="0"/>
        <w:jc w:val="both"/>
        <w:rPr>
          <w:rFonts w:ascii="Arial" w:hAnsi="Arial" w:cs="Arial"/>
        </w:rPr>
      </w:pPr>
      <w:r w:rsidRPr="00E07F80">
        <w:rPr>
          <w:rFonts w:ascii="Arial" w:hAnsi="Arial" w:cs="Arial"/>
          <w:b/>
          <w:bCs/>
          <w:kern w:val="0"/>
        </w:rPr>
        <w:t>Remunerations</w:t>
      </w:r>
    </w:p>
    <w:p w14:paraId="142F7F19" w14:textId="5CED8C0A" w:rsidR="00CE4177" w:rsidRDefault="003069D4" w:rsidP="00E07F80">
      <w:pPr>
        <w:pStyle w:val="ListParagraph"/>
        <w:spacing w:after="120" w:line="360" w:lineRule="auto"/>
        <w:ind w:left="0"/>
        <w:contextualSpacing w:val="0"/>
        <w:jc w:val="both"/>
        <w:rPr>
          <w:rFonts w:ascii="Arial" w:hAnsi="Arial" w:cs="Arial"/>
        </w:rPr>
      </w:pPr>
      <w:r w:rsidRPr="00E07F80">
        <w:rPr>
          <w:rFonts w:ascii="Arial" w:hAnsi="Arial" w:cs="Arial"/>
        </w:rPr>
        <w:t xml:space="preserve">The assignment foresees up to </w:t>
      </w:r>
      <w:r w:rsidR="00210651">
        <w:rPr>
          <w:rFonts w:ascii="Arial" w:hAnsi="Arial" w:cs="Arial"/>
        </w:rPr>
        <w:t>160</w:t>
      </w:r>
      <w:r w:rsidR="00085010" w:rsidRPr="00E07F80">
        <w:rPr>
          <w:rFonts w:ascii="Arial" w:hAnsi="Arial" w:cs="Arial"/>
        </w:rPr>
        <w:t xml:space="preserve"> </w:t>
      </w:r>
      <w:r w:rsidRPr="00E07F80">
        <w:rPr>
          <w:rFonts w:ascii="Arial" w:hAnsi="Arial" w:cs="Arial"/>
        </w:rPr>
        <w:t xml:space="preserve">working hours or </w:t>
      </w:r>
      <w:r w:rsidR="00210651">
        <w:rPr>
          <w:rFonts w:ascii="Arial" w:hAnsi="Arial" w:cs="Arial"/>
        </w:rPr>
        <w:t>20</w:t>
      </w:r>
      <w:r w:rsidRPr="00E07F80">
        <w:rPr>
          <w:rFonts w:ascii="Arial" w:hAnsi="Arial" w:cs="Arial"/>
        </w:rPr>
        <w:t xml:space="preserve"> working days of engagement for </w:t>
      </w:r>
      <w:r w:rsidR="00E56DF1" w:rsidRPr="00E07F80">
        <w:rPr>
          <w:rFonts w:ascii="Arial" w:hAnsi="Arial" w:cs="Arial"/>
        </w:rPr>
        <w:t xml:space="preserve">the </w:t>
      </w:r>
      <w:r w:rsidR="00746877" w:rsidRPr="00E07F80">
        <w:rPr>
          <w:rFonts w:ascii="Arial" w:hAnsi="Arial" w:cs="Arial"/>
        </w:rPr>
        <w:t>expert</w:t>
      </w:r>
      <w:r w:rsidRPr="00E07F80">
        <w:rPr>
          <w:rFonts w:ascii="Arial" w:hAnsi="Arial" w:cs="Arial"/>
        </w:rPr>
        <w:t xml:space="preserve"> with a maximum value of EUR </w:t>
      </w:r>
      <w:r w:rsidR="00210651">
        <w:rPr>
          <w:rFonts w:ascii="Arial" w:hAnsi="Arial" w:cs="Arial"/>
        </w:rPr>
        <w:t>5</w:t>
      </w:r>
      <w:r w:rsidRPr="00E07F80">
        <w:rPr>
          <w:rFonts w:ascii="Arial" w:hAnsi="Arial" w:cs="Arial"/>
        </w:rPr>
        <w:t xml:space="preserve">,000. </w:t>
      </w:r>
      <w:r w:rsidR="00DF739B" w:rsidRPr="00E07F80">
        <w:rPr>
          <w:rFonts w:ascii="Arial" w:hAnsi="Arial" w:cs="Arial"/>
        </w:rPr>
        <w:t xml:space="preserve">The payment will be made in </w:t>
      </w:r>
      <w:r w:rsidR="00CE6949">
        <w:rPr>
          <w:rFonts w:ascii="Arial" w:hAnsi="Arial" w:cs="Arial"/>
        </w:rPr>
        <w:t>two</w:t>
      </w:r>
      <w:r w:rsidR="00537A7C" w:rsidRPr="00E07F80">
        <w:rPr>
          <w:rFonts w:ascii="Arial" w:hAnsi="Arial" w:cs="Arial"/>
        </w:rPr>
        <w:t xml:space="preserve"> </w:t>
      </w:r>
      <w:r w:rsidR="0074501F" w:rsidRPr="00E07F80">
        <w:rPr>
          <w:rFonts w:ascii="Arial" w:hAnsi="Arial" w:cs="Arial"/>
        </w:rPr>
        <w:t>instalments</w:t>
      </w:r>
      <w:r w:rsidR="003974AA">
        <w:rPr>
          <w:rFonts w:ascii="Arial" w:hAnsi="Arial" w:cs="Arial"/>
        </w:rPr>
        <w:t xml:space="preserve"> </w:t>
      </w:r>
      <w:r w:rsidR="00CE4177">
        <w:rPr>
          <w:rFonts w:ascii="Arial" w:hAnsi="Arial" w:cs="Arial"/>
        </w:rPr>
        <w:t>as per the following schedule:</w:t>
      </w:r>
    </w:p>
    <w:p w14:paraId="5708CA09" w14:textId="0E5182A0" w:rsidR="00CE4177" w:rsidRDefault="00314836" w:rsidP="00CE4177">
      <w:pPr>
        <w:pStyle w:val="ListParagraph"/>
        <w:numPr>
          <w:ilvl w:val="1"/>
          <w:numId w:val="2"/>
        </w:numPr>
        <w:spacing w:after="120" w:line="360" w:lineRule="auto"/>
        <w:ind w:left="567" w:hanging="283"/>
        <w:contextualSpacing w:val="0"/>
        <w:jc w:val="both"/>
        <w:rPr>
          <w:rFonts w:ascii="Arial" w:hAnsi="Arial" w:cs="Arial"/>
        </w:rPr>
      </w:pPr>
      <w:r>
        <w:rPr>
          <w:rFonts w:ascii="Arial" w:hAnsi="Arial" w:cs="Arial"/>
        </w:rPr>
        <w:t xml:space="preserve"> 1</w:t>
      </w:r>
      <w:r w:rsidRPr="003977DE">
        <w:rPr>
          <w:rFonts w:ascii="Arial" w:hAnsi="Arial" w:cs="Arial"/>
          <w:vertAlign w:val="superscript"/>
        </w:rPr>
        <w:t>st</w:t>
      </w:r>
      <w:r>
        <w:rPr>
          <w:rFonts w:ascii="Arial" w:hAnsi="Arial" w:cs="Arial"/>
        </w:rPr>
        <w:t xml:space="preserve"> instal</w:t>
      </w:r>
      <w:r w:rsidR="00D2440D">
        <w:rPr>
          <w:rFonts w:ascii="Arial" w:hAnsi="Arial" w:cs="Arial"/>
        </w:rPr>
        <w:t xml:space="preserve">ment </w:t>
      </w:r>
      <w:r w:rsidR="00BC2C23" w:rsidRPr="00E07F80">
        <w:rPr>
          <w:rFonts w:ascii="Arial" w:hAnsi="Arial" w:cs="Arial"/>
        </w:rPr>
        <w:t>after complet</w:t>
      </w:r>
      <w:r w:rsidR="00CE6949">
        <w:rPr>
          <w:rFonts w:ascii="Arial" w:hAnsi="Arial" w:cs="Arial"/>
        </w:rPr>
        <w:t xml:space="preserve">ion of </w:t>
      </w:r>
      <w:r w:rsidR="00CE4177">
        <w:rPr>
          <w:rFonts w:ascii="Arial" w:hAnsi="Arial" w:cs="Arial"/>
        </w:rPr>
        <w:t xml:space="preserve">the </w:t>
      </w:r>
      <w:r w:rsidR="004443D5">
        <w:rPr>
          <w:rFonts w:ascii="Arial" w:hAnsi="Arial" w:cs="Arial"/>
        </w:rPr>
        <w:t xml:space="preserve">deliverable 1 </w:t>
      </w:r>
    </w:p>
    <w:p w14:paraId="3FED4877" w14:textId="6BBE55DB" w:rsidR="00427150" w:rsidRPr="004971AF" w:rsidRDefault="00CE4177" w:rsidP="004971AF">
      <w:pPr>
        <w:pStyle w:val="ListParagraph"/>
        <w:numPr>
          <w:ilvl w:val="1"/>
          <w:numId w:val="2"/>
        </w:numPr>
        <w:spacing w:after="120" w:line="360" w:lineRule="auto"/>
        <w:ind w:left="567" w:hanging="283"/>
        <w:contextualSpacing w:val="0"/>
        <w:jc w:val="both"/>
        <w:rPr>
          <w:rFonts w:ascii="Arial" w:hAnsi="Arial" w:cs="Arial"/>
        </w:rPr>
      </w:pPr>
      <w:r>
        <w:rPr>
          <w:rFonts w:ascii="Arial" w:hAnsi="Arial" w:cs="Arial"/>
        </w:rPr>
        <w:t xml:space="preserve"> 2</w:t>
      </w:r>
      <w:r w:rsidRPr="003977DE">
        <w:rPr>
          <w:rFonts w:ascii="Arial" w:hAnsi="Arial" w:cs="Arial"/>
          <w:vertAlign w:val="superscript"/>
        </w:rPr>
        <w:t>nd</w:t>
      </w:r>
      <w:r>
        <w:rPr>
          <w:rFonts w:ascii="Arial" w:hAnsi="Arial" w:cs="Arial"/>
        </w:rPr>
        <w:t xml:space="preserve"> insta</w:t>
      </w:r>
      <w:r w:rsidR="00656D49">
        <w:rPr>
          <w:rFonts w:ascii="Arial" w:hAnsi="Arial" w:cs="Arial"/>
        </w:rPr>
        <w:t xml:space="preserve">lment </w:t>
      </w:r>
      <w:r w:rsidR="00B815BF">
        <w:rPr>
          <w:rFonts w:ascii="Arial" w:hAnsi="Arial" w:cs="Arial"/>
        </w:rPr>
        <w:t xml:space="preserve">after completion of deliverable </w:t>
      </w:r>
      <w:r w:rsidR="00BC3D4A">
        <w:rPr>
          <w:rFonts w:ascii="Arial" w:hAnsi="Arial" w:cs="Arial"/>
        </w:rPr>
        <w:t>3</w:t>
      </w:r>
    </w:p>
    <w:p w14:paraId="41EB4EB4" w14:textId="3D7BA431" w:rsidR="00B251E7" w:rsidRPr="00B251E7" w:rsidRDefault="00B251E7" w:rsidP="00B251E7">
      <w:pPr>
        <w:spacing w:after="120" w:line="360" w:lineRule="auto"/>
        <w:jc w:val="both"/>
        <w:rPr>
          <w:rFonts w:ascii="Arial" w:hAnsi="Arial" w:cs="Arial"/>
        </w:rPr>
      </w:pPr>
      <w:r w:rsidRPr="00B251E7">
        <w:rPr>
          <w:rFonts w:ascii="Arial" w:hAnsi="Arial" w:cs="Arial"/>
        </w:rPr>
        <w:t>Each deliverable will be subject to quality control and approval by the TCT Secretariat</w:t>
      </w:r>
      <w:r w:rsidR="001D3C57">
        <w:rPr>
          <w:rFonts w:ascii="Arial" w:hAnsi="Arial" w:cs="Arial"/>
        </w:rPr>
        <w:t xml:space="preserve"> and end-beneficiary </w:t>
      </w:r>
      <w:r w:rsidRPr="00B251E7">
        <w:rPr>
          <w:rFonts w:ascii="Arial" w:hAnsi="Arial" w:cs="Arial"/>
        </w:rPr>
        <w:t>prior to payment.</w:t>
      </w:r>
    </w:p>
    <w:p w14:paraId="6D4C2155" w14:textId="0F6EE003" w:rsidR="00427150" w:rsidRPr="00E07F80" w:rsidRDefault="00B251E7" w:rsidP="00B251E7">
      <w:pPr>
        <w:pStyle w:val="ListParagraph"/>
        <w:spacing w:after="120" w:line="360" w:lineRule="auto"/>
        <w:ind w:left="0"/>
        <w:contextualSpacing w:val="0"/>
        <w:jc w:val="both"/>
        <w:rPr>
          <w:rFonts w:ascii="Arial" w:hAnsi="Arial" w:cs="Arial"/>
        </w:rPr>
      </w:pPr>
      <w:r w:rsidRPr="00B251E7">
        <w:rPr>
          <w:rFonts w:ascii="Arial" w:hAnsi="Arial" w:cs="Arial"/>
        </w:rPr>
        <w:t>Payment will be processed upon submission of all documents as stipulated in the contract</w:t>
      </w:r>
    </w:p>
    <w:p w14:paraId="4AC62A73" w14:textId="44A119F8" w:rsidR="00174593" w:rsidRDefault="00DF739B" w:rsidP="00E07F80">
      <w:pPr>
        <w:pStyle w:val="ListParagraph"/>
        <w:spacing w:after="120" w:line="360" w:lineRule="auto"/>
        <w:ind w:left="0"/>
        <w:contextualSpacing w:val="0"/>
        <w:jc w:val="both"/>
        <w:rPr>
          <w:rFonts w:ascii="Arial" w:hAnsi="Arial" w:cs="Arial"/>
        </w:rPr>
      </w:pPr>
      <w:r w:rsidRPr="00E07F80">
        <w:rPr>
          <w:rFonts w:ascii="Arial" w:hAnsi="Arial" w:cs="Arial"/>
        </w:rPr>
        <w:t xml:space="preserve">Note: No other costs will be covered besides the expert cost per day. </w:t>
      </w:r>
    </w:p>
    <w:p w14:paraId="794B21D7" w14:textId="77777777" w:rsidR="006A24D0" w:rsidRPr="00E07F80" w:rsidRDefault="006A24D0" w:rsidP="00E07F80">
      <w:pPr>
        <w:pStyle w:val="ListParagraph"/>
        <w:spacing w:after="120" w:line="360" w:lineRule="auto"/>
        <w:ind w:left="0"/>
        <w:contextualSpacing w:val="0"/>
        <w:jc w:val="both"/>
        <w:rPr>
          <w:rFonts w:ascii="Arial" w:hAnsi="Arial" w:cs="Arial"/>
        </w:rPr>
      </w:pPr>
    </w:p>
    <w:p w14:paraId="16F6B50A" w14:textId="20E28239" w:rsidR="00C5310B" w:rsidRPr="00E07F80" w:rsidRDefault="00C5310B"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lastRenderedPageBreak/>
        <w:t>Financial Offer</w:t>
      </w:r>
    </w:p>
    <w:p w14:paraId="27915E0B" w14:textId="60B105BA" w:rsidR="00C5310B" w:rsidRPr="00E07F80" w:rsidRDefault="00466995" w:rsidP="00C85253">
      <w:pPr>
        <w:spacing w:after="120" w:line="360" w:lineRule="auto"/>
        <w:jc w:val="both"/>
        <w:rPr>
          <w:rFonts w:ascii="Arial" w:hAnsi="Arial" w:cs="Arial"/>
        </w:rPr>
      </w:pPr>
      <w:r w:rsidRPr="00E07F80">
        <w:rPr>
          <w:rFonts w:ascii="Arial" w:hAnsi="Arial" w:cs="Arial"/>
        </w:rPr>
        <w:t>The financial</w:t>
      </w:r>
      <w:r w:rsidR="00C5310B" w:rsidRPr="00E07F80">
        <w:rPr>
          <w:rFonts w:ascii="Arial" w:hAnsi="Arial" w:cs="Arial"/>
        </w:rPr>
        <w:t xml:space="preserve"> offer should be shown in a form showing the price per working day of 8 hours.</w:t>
      </w:r>
    </w:p>
    <w:p w14:paraId="62FF4940" w14:textId="5D1C9805" w:rsidR="00C5310B" w:rsidRDefault="00C5310B" w:rsidP="00C85253">
      <w:pPr>
        <w:spacing w:after="120" w:line="360" w:lineRule="auto"/>
        <w:jc w:val="both"/>
        <w:rPr>
          <w:rFonts w:ascii="Arial" w:hAnsi="Arial" w:cs="Arial"/>
        </w:rPr>
      </w:pPr>
      <w:r w:rsidRPr="00E07F80">
        <w:rPr>
          <w:rFonts w:ascii="Arial" w:hAnsi="Arial" w:cs="Arial"/>
        </w:rPr>
        <w:t xml:space="preserve">The offer with the lowest price will be scored with </w:t>
      </w:r>
      <w:r w:rsidR="00466995" w:rsidRPr="00E07F80">
        <w:rPr>
          <w:rFonts w:ascii="Arial" w:hAnsi="Arial" w:cs="Arial"/>
        </w:rPr>
        <w:t xml:space="preserve">a maximum of </w:t>
      </w:r>
      <w:r w:rsidRPr="00E07F80">
        <w:rPr>
          <w:rFonts w:ascii="Arial" w:hAnsi="Arial" w:cs="Arial"/>
        </w:rPr>
        <w:t xml:space="preserve">20 points. </w:t>
      </w:r>
    </w:p>
    <w:p w14:paraId="60BA65F7" w14:textId="76B35A53" w:rsidR="00E04BFC" w:rsidRPr="00AA690F" w:rsidRDefault="00AA690F" w:rsidP="00C85253">
      <w:pPr>
        <w:spacing w:after="120" w:line="360" w:lineRule="auto"/>
        <w:jc w:val="both"/>
        <w:rPr>
          <w:rFonts w:ascii="Arial" w:hAnsi="Arial" w:cs="Arial"/>
          <w:b/>
          <w:bCs/>
        </w:rPr>
      </w:pPr>
      <w:r w:rsidRPr="00AA690F">
        <w:rPr>
          <w:rFonts w:ascii="Arial" w:hAnsi="Arial" w:cs="Arial"/>
          <w:b/>
          <w:bCs/>
        </w:rPr>
        <w:t>Please note that only one offer per bidder is permitted. Accordingly, the submission of multiple or alternative offers, including offers submitted individually and jointly by the same party, will not be accepted.</w:t>
      </w:r>
      <w:r w:rsidRPr="00AA690F">
        <w:rPr>
          <w:rFonts w:ascii="Arial" w:hAnsi="Arial" w:cs="Arial"/>
          <w:b/>
          <w:bCs/>
        </w:rPr>
        <w:t xml:space="preserve"> </w:t>
      </w:r>
    </w:p>
    <w:p w14:paraId="21A45877" w14:textId="3C36A222" w:rsidR="00CF5E46" w:rsidRPr="00E07F80" w:rsidRDefault="00CF5E46" w:rsidP="00005CD7">
      <w:pPr>
        <w:pStyle w:val="ListParagraph"/>
        <w:numPr>
          <w:ilvl w:val="0"/>
          <w:numId w:val="1"/>
        </w:numPr>
        <w:spacing w:after="120" w:line="360" w:lineRule="auto"/>
        <w:ind w:left="567" w:hanging="567"/>
        <w:contextualSpacing w:val="0"/>
        <w:jc w:val="both"/>
        <w:rPr>
          <w:rFonts w:ascii="Arial" w:hAnsi="Arial" w:cs="Arial"/>
          <w:b/>
          <w:bCs/>
        </w:rPr>
      </w:pPr>
      <w:r w:rsidRPr="00E07F80">
        <w:rPr>
          <w:rFonts w:ascii="Arial" w:hAnsi="Arial" w:cs="Arial"/>
          <w:b/>
          <w:bCs/>
        </w:rPr>
        <w:t>Selection and Award criteria</w:t>
      </w:r>
    </w:p>
    <w:p w14:paraId="43A2CA43" w14:textId="2E38496F" w:rsidR="00174593" w:rsidRPr="00E07F80" w:rsidRDefault="005A3BAF" w:rsidP="00C85253">
      <w:pPr>
        <w:spacing w:after="120" w:line="360" w:lineRule="auto"/>
        <w:jc w:val="both"/>
        <w:rPr>
          <w:rFonts w:ascii="Arial" w:hAnsi="Arial" w:cs="Arial"/>
        </w:rPr>
      </w:pPr>
      <w:r w:rsidRPr="00E07F80">
        <w:rPr>
          <w:rFonts w:ascii="Arial" w:hAnsi="Arial" w:cs="Arial"/>
        </w:rPr>
        <w:t>Selection</w:t>
      </w:r>
      <w:r w:rsidR="00CF5E46" w:rsidRPr="00E07F80">
        <w:rPr>
          <w:rFonts w:ascii="Arial" w:hAnsi="Arial" w:cs="Arial"/>
        </w:rPr>
        <w:t xml:space="preserve"> will be done based on work experience. </w:t>
      </w:r>
      <w:r w:rsidR="00035F7E" w:rsidRPr="00E07F80">
        <w:rPr>
          <w:rFonts w:ascii="Arial" w:hAnsi="Arial" w:cs="Arial"/>
        </w:rPr>
        <w:tab/>
      </w:r>
    </w:p>
    <w:tbl>
      <w:tblPr>
        <w:tblStyle w:val="TableGrid"/>
        <w:tblW w:w="0" w:type="auto"/>
        <w:jc w:val="center"/>
        <w:tblLook w:val="04A0" w:firstRow="1" w:lastRow="0" w:firstColumn="1" w:lastColumn="0" w:noHBand="0" w:noVBand="1"/>
      </w:tblPr>
      <w:tblGrid>
        <w:gridCol w:w="3114"/>
        <w:gridCol w:w="3260"/>
        <w:gridCol w:w="2256"/>
      </w:tblGrid>
      <w:tr w:rsidR="00813BCB" w:rsidRPr="00E07F80" w14:paraId="14FBB9B8" w14:textId="77777777" w:rsidTr="00C85253">
        <w:trPr>
          <w:jc w:val="center"/>
        </w:trPr>
        <w:tc>
          <w:tcPr>
            <w:tcW w:w="3114" w:type="dxa"/>
          </w:tcPr>
          <w:p w14:paraId="64850578" w14:textId="77777777"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Work experience</w:t>
            </w:r>
          </w:p>
        </w:tc>
        <w:tc>
          <w:tcPr>
            <w:tcW w:w="3260" w:type="dxa"/>
          </w:tcPr>
          <w:p w14:paraId="5E2FC839" w14:textId="77777777"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Minimum score</w:t>
            </w:r>
          </w:p>
        </w:tc>
        <w:tc>
          <w:tcPr>
            <w:tcW w:w="2256" w:type="dxa"/>
          </w:tcPr>
          <w:p w14:paraId="6A2127AB" w14:textId="77777777"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Maximum score</w:t>
            </w:r>
          </w:p>
        </w:tc>
      </w:tr>
      <w:tr w:rsidR="00813BCB" w:rsidRPr="00E07F80" w14:paraId="0352B9D6" w14:textId="77777777" w:rsidTr="00C85253">
        <w:trPr>
          <w:jc w:val="center"/>
        </w:trPr>
        <w:tc>
          <w:tcPr>
            <w:tcW w:w="3114" w:type="dxa"/>
          </w:tcPr>
          <w:p w14:paraId="18107F38" w14:textId="7C9F4A53" w:rsidR="00453CD0" w:rsidRPr="00E07F80" w:rsidRDefault="00BF7404" w:rsidP="00E07F80">
            <w:pPr>
              <w:pStyle w:val="ListParagraph"/>
              <w:spacing w:after="120" w:line="360" w:lineRule="auto"/>
              <w:ind w:left="0"/>
              <w:contextualSpacing w:val="0"/>
              <w:jc w:val="both"/>
              <w:rPr>
                <w:rFonts w:ascii="Arial" w:hAnsi="Arial" w:cs="Arial"/>
              </w:rPr>
            </w:pPr>
            <w:r w:rsidRPr="00E07F80">
              <w:rPr>
                <w:rFonts w:ascii="Arial" w:eastAsia="Times New Roman" w:hAnsi="Arial" w:cs="Arial"/>
              </w:rPr>
              <w:t xml:space="preserve">A minimum of </w:t>
            </w:r>
            <w:r>
              <w:rPr>
                <w:rFonts w:ascii="Arial" w:eastAsia="Times New Roman" w:hAnsi="Arial" w:cs="Arial"/>
                <w:b/>
                <w:bCs/>
              </w:rPr>
              <w:t>4</w:t>
            </w:r>
            <w:r w:rsidRPr="00E07F80">
              <w:rPr>
                <w:rFonts w:ascii="Arial" w:eastAsia="Times New Roman" w:hAnsi="Arial" w:cs="Arial"/>
                <w:b/>
                <w:bCs/>
              </w:rPr>
              <w:t xml:space="preserve"> (</w:t>
            </w:r>
            <w:r>
              <w:rPr>
                <w:rFonts w:ascii="Arial" w:eastAsia="Times New Roman" w:hAnsi="Arial" w:cs="Arial"/>
                <w:b/>
                <w:bCs/>
              </w:rPr>
              <w:t>4</w:t>
            </w:r>
            <w:r w:rsidRPr="00E07F80">
              <w:rPr>
                <w:rFonts w:ascii="Arial" w:eastAsia="Times New Roman" w:hAnsi="Arial" w:cs="Arial"/>
                <w:b/>
                <w:bCs/>
              </w:rPr>
              <w:t>) years of professional experience</w:t>
            </w:r>
            <w:r w:rsidRPr="00E07F80">
              <w:rPr>
                <w:rFonts w:ascii="Arial" w:eastAsia="Times New Roman" w:hAnsi="Arial" w:cs="Arial"/>
              </w:rPr>
              <w:t xml:space="preserve"> </w:t>
            </w:r>
            <w:r w:rsidRPr="00D43F32">
              <w:rPr>
                <w:rFonts w:ascii="Arial" w:eastAsia="Times New Roman" w:hAnsi="Arial" w:cs="Arial"/>
              </w:rPr>
              <w:t xml:space="preserve">in the </w:t>
            </w:r>
            <w:r>
              <w:rPr>
                <w:rFonts w:ascii="Arial" w:eastAsia="Times New Roman" w:hAnsi="Arial" w:cs="Arial"/>
              </w:rPr>
              <w:t>railway vehicles registers or similar tasks</w:t>
            </w:r>
            <w:r w:rsidRPr="00D43F32">
              <w:rPr>
                <w:rFonts w:ascii="Arial" w:eastAsia="Times New Roman" w:hAnsi="Arial" w:cs="Arial"/>
              </w:rPr>
              <w:t>, preferably in the transport, mobility, or infrastructure sectors</w:t>
            </w:r>
            <w:r w:rsidR="00A0327A" w:rsidRPr="00E07F80">
              <w:rPr>
                <w:rFonts w:ascii="Arial" w:eastAsia="Times New Roman" w:hAnsi="Arial" w:cs="Arial"/>
              </w:rPr>
              <w:t xml:space="preserve">. </w:t>
            </w:r>
          </w:p>
        </w:tc>
        <w:tc>
          <w:tcPr>
            <w:tcW w:w="3260" w:type="dxa"/>
          </w:tcPr>
          <w:p w14:paraId="4BED43BC" w14:textId="289CD3F8"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 xml:space="preserve">20, for </w:t>
            </w:r>
            <w:r w:rsidR="00076244" w:rsidRPr="00E07F80">
              <w:rPr>
                <w:rFonts w:ascii="Arial" w:hAnsi="Arial" w:cs="Arial"/>
              </w:rPr>
              <w:t xml:space="preserve">at least </w:t>
            </w:r>
            <w:r w:rsidR="00BF7404">
              <w:rPr>
                <w:rFonts w:ascii="Arial" w:eastAsia="Times New Roman" w:hAnsi="Arial" w:cs="Arial"/>
              </w:rPr>
              <w:t>four</w:t>
            </w:r>
            <w:r w:rsidR="00E56B2E" w:rsidRPr="00E07F80">
              <w:rPr>
                <w:rFonts w:ascii="Arial" w:eastAsia="Times New Roman" w:hAnsi="Arial" w:cs="Arial"/>
              </w:rPr>
              <w:t xml:space="preserve"> (</w:t>
            </w:r>
            <w:r w:rsidR="00BF7404">
              <w:rPr>
                <w:rFonts w:ascii="Arial" w:eastAsia="Times New Roman" w:hAnsi="Arial" w:cs="Arial"/>
              </w:rPr>
              <w:t>4</w:t>
            </w:r>
            <w:r w:rsidR="00E56B2E" w:rsidRPr="00E07F80">
              <w:rPr>
                <w:rFonts w:ascii="Arial" w:eastAsia="Times New Roman" w:hAnsi="Arial" w:cs="Arial"/>
              </w:rPr>
              <w:t xml:space="preserve">) years of </w:t>
            </w:r>
            <w:r w:rsidR="00773988">
              <w:rPr>
                <w:rFonts w:ascii="Arial" w:eastAsia="Times New Roman" w:hAnsi="Arial" w:cs="Arial"/>
              </w:rPr>
              <w:t>professional</w:t>
            </w:r>
            <w:r w:rsidR="00E56B2E" w:rsidRPr="00E07F80">
              <w:rPr>
                <w:rFonts w:ascii="Arial" w:eastAsia="Times New Roman" w:hAnsi="Arial" w:cs="Arial"/>
              </w:rPr>
              <w:t xml:space="preserve"> experience</w:t>
            </w:r>
            <w:r w:rsidRPr="00E07F80">
              <w:rPr>
                <w:rFonts w:ascii="Arial" w:hAnsi="Arial" w:cs="Arial"/>
              </w:rPr>
              <w:t xml:space="preserve">. </w:t>
            </w:r>
          </w:p>
          <w:p w14:paraId="684C6C92" w14:textId="090A0E4D"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Every additional year</w:t>
            </w:r>
            <w:r w:rsidR="00680779" w:rsidRPr="00E07F80">
              <w:rPr>
                <w:rFonts w:ascii="Arial" w:hAnsi="Arial" w:cs="Arial"/>
              </w:rPr>
              <w:t xml:space="preserve">, the score will be </w:t>
            </w:r>
            <w:r w:rsidR="003A0E97">
              <w:rPr>
                <w:rFonts w:ascii="Arial" w:hAnsi="Arial" w:cs="Arial"/>
              </w:rPr>
              <w:t>5</w:t>
            </w:r>
            <w:r w:rsidRPr="00E07F80">
              <w:rPr>
                <w:rFonts w:ascii="Arial" w:hAnsi="Arial" w:cs="Arial"/>
              </w:rPr>
              <w:t xml:space="preserve"> points up to the maximum score.</w:t>
            </w:r>
          </w:p>
        </w:tc>
        <w:tc>
          <w:tcPr>
            <w:tcW w:w="2256" w:type="dxa"/>
          </w:tcPr>
          <w:p w14:paraId="56EDFEBF" w14:textId="77777777"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30</w:t>
            </w:r>
          </w:p>
        </w:tc>
      </w:tr>
      <w:tr w:rsidR="00813BCB" w:rsidRPr="00E07F80" w14:paraId="3C48A8C7" w14:textId="77777777" w:rsidTr="00C85253">
        <w:trPr>
          <w:jc w:val="center"/>
        </w:trPr>
        <w:tc>
          <w:tcPr>
            <w:tcW w:w="3114" w:type="dxa"/>
          </w:tcPr>
          <w:p w14:paraId="4A3F0BA2" w14:textId="33D6F061" w:rsidR="00B76415" w:rsidRPr="00E07F80" w:rsidRDefault="00BF7404" w:rsidP="00E07F80">
            <w:pPr>
              <w:spacing w:after="120" w:line="360" w:lineRule="auto"/>
              <w:jc w:val="both"/>
              <w:rPr>
                <w:rFonts w:ascii="Arial" w:eastAsia="Times New Roman" w:hAnsi="Arial" w:cs="Arial"/>
              </w:rPr>
            </w:pPr>
            <w:r>
              <w:rPr>
                <w:rFonts w:ascii="Arial" w:eastAsia="Times New Roman" w:hAnsi="Arial" w:cs="Arial"/>
              </w:rPr>
              <w:t xml:space="preserve">Proven experience </w:t>
            </w:r>
            <w:r w:rsidRPr="009F0592">
              <w:rPr>
                <w:rFonts w:ascii="Arial" w:eastAsia="Times New Roman" w:hAnsi="Arial" w:cs="Arial"/>
              </w:rPr>
              <w:t xml:space="preserve">in </w:t>
            </w:r>
            <w:r>
              <w:rPr>
                <w:rFonts w:ascii="Arial" w:eastAsia="Times New Roman" w:hAnsi="Arial" w:cs="Arial"/>
              </w:rPr>
              <w:t>alignment of data from national vehicles registers to the EVR</w:t>
            </w:r>
            <w:r w:rsidR="00D5462F">
              <w:rPr>
                <w:rFonts w:ascii="Arial" w:eastAsia="Times New Roman" w:hAnsi="Arial" w:cs="Arial"/>
              </w:rPr>
              <w:t>.</w:t>
            </w:r>
          </w:p>
          <w:p w14:paraId="17AFEF0E" w14:textId="2DF8B8D8" w:rsidR="00453CD0" w:rsidRPr="00E07F80" w:rsidRDefault="00453CD0" w:rsidP="00E07F80">
            <w:pPr>
              <w:pStyle w:val="ListParagraph"/>
              <w:spacing w:after="120" w:line="360" w:lineRule="auto"/>
              <w:ind w:left="0"/>
              <w:contextualSpacing w:val="0"/>
              <w:jc w:val="both"/>
              <w:rPr>
                <w:rFonts w:ascii="Arial" w:hAnsi="Arial" w:cs="Arial"/>
              </w:rPr>
            </w:pPr>
          </w:p>
        </w:tc>
        <w:tc>
          <w:tcPr>
            <w:tcW w:w="3260" w:type="dxa"/>
          </w:tcPr>
          <w:p w14:paraId="47C81E2F" w14:textId="5E168345" w:rsidR="00637EA5" w:rsidRPr="00E07F80" w:rsidRDefault="00307C67" w:rsidP="00E07F80">
            <w:pPr>
              <w:spacing w:after="120" w:line="360" w:lineRule="auto"/>
              <w:jc w:val="both"/>
              <w:rPr>
                <w:rFonts w:ascii="Arial" w:eastAsia="Times New Roman" w:hAnsi="Arial" w:cs="Arial"/>
              </w:rPr>
            </w:pPr>
            <w:r>
              <w:rPr>
                <w:rFonts w:ascii="Arial" w:hAnsi="Arial" w:cs="Arial"/>
              </w:rPr>
              <w:t>1</w:t>
            </w:r>
            <w:r w:rsidR="00453CD0" w:rsidRPr="00E07F80">
              <w:rPr>
                <w:rFonts w:ascii="Arial" w:hAnsi="Arial" w:cs="Arial"/>
              </w:rPr>
              <w:t xml:space="preserve">0 for </w:t>
            </w:r>
            <w:r w:rsidR="00680779" w:rsidRPr="00E07F80">
              <w:rPr>
                <w:rFonts w:ascii="Arial" w:hAnsi="Arial" w:cs="Arial"/>
              </w:rPr>
              <w:t xml:space="preserve">at </w:t>
            </w:r>
            <w:r w:rsidR="00453CD0" w:rsidRPr="00E07F80">
              <w:rPr>
                <w:rFonts w:ascii="Arial" w:eastAsia="Times New Roman" w:hAnsi="Arial" w:cs="Arial"/>
              </w:rPr>
              <w:t>least one (1) reference activity conducted in</w:t>
            </w:r>
            <w:r w:rsidR="00773988">
              <w:rPr>
                <w:rFonts w:ascii="Arial" w:eastAsia="Times New Roman" w:hAnsi="Arial" w:cs="Arial"/>
              </w:rPr>
              <w:t xml:space="preserve"> </w:t>
            </w:r>
            <w:r w:rsidR="00773988" w:rsidRPr="008C2F83">
              <w:rPr>
                <w:rFonts w:ascii="Arial" w:eastAsia="Times New Roman" w:hAnsi="Arial" w:cs="Arial"/>
              </w:rPr>
              <w:t>complex IT or digital platform projects, including system architecture, data management</w:t>
            </w:r>
            <w:r w:rsidR="00773988">
              <w:rPr>
                <w:rFonts w:ascii="Arial" w:eastAsia="Times New Roman" w:hAnsi="Arial" w:cs="Arial"/>
              </w:rPr>
              <w:t xml:space="preserve"> and</w:t>
            </w:r>
            <w:r w:rsidR="00773988" w:rsidRPr="0063472B">
              <w:rPr>
                <w:rFonts w:ascii="Arial" w:eastAsia="Times New Roman" w:hAnsi="Arial" w:cs="Arial"/>
              </w:rPr>
              <w:t xml:space="preserve"> reporting frameworks</w:t>
            </w:r>
          </w:p>
          <w:p w14:paraId="5372BB49" w14:textId="02B6BA25" w:rsidR="00453CD0" w:rsidRPr="00E07F80" w:rsidRDefault="00E8717A" w:rsidP="00E07F80">
            <w:pPr>
              <w:pStyle w:val="ListParagraph"/>
              <w:spacing w:after="120" w:line="360" w:lineRule="auto"/>
              <w:ind w:left="0"/>
              <w:contextualSpacing w:val="0"/>
              <w:jc w:val="both"/>
              <w:rPr>
                <w:rFonts w:ascii="Arial" w:hAnsi="Arial" w:cs="Arial"/>
              </w:rPr>
            </w:pPr>
            <w:r w:rsidRPr="00E07F80">
              <w:rPr>
                <w:rFonts w:ascii="Arial" w:hAnsi="Arial" w:cs="Arial"/>
              </w:rPr>
              <w:t xml:space="preserve">Every additional reference will be scored </w:t>
            </w:r>
            <w:r w:rsidR="003A0E97">
              <w:rPr>
                <w:rFonts w:ascii="Arial" w:hAnsi="Arial" w:cs="Arial"/>
              </w:rPr>
              <w:t>5</w:t>
            </w:r>
            <w:r w:rsidRPr="00E07F80">
              <w:rPr>
                <w:rFonts w:ascii="Arial" w:hAnsi="Arial" w:cs="Arial"/>
              </w:rPr>
              <w:t xml:space="preserve"> points up to the maximum score.</w:t>
            </w:r>
          </w:p>
        </w:tc>
        <w:tc>
          <w:tcPr>
            <w:tcW w:w="2256" w:type="dxa"/>
          </w:tcPr>
          <w:p w14:paraId="7387D022" w14:textId="730778D1" w:rsidR="00453CD0" w:rsidRPr="00E07F80" w:rsidRDefault="00307C67" w:rsidP="00E07F80">
            <w:pPr>
              <w:pStyle w:val="ListParagraph"/>
              <w:spacing w:after="120" w:line="360" w:lineRule="auto"/>
              <w:ind w:left="0"/>
              <w:contextualSpacing w:val="0"/>
              <w:jc w:val="both"/>
              <w:rPr>
                <w:rFonts w:ascii="Arial" w:hAnsi="Arial" w:cs="Arial"/>
              </w:rPr>
            </w:pPr>
            <w:r>
              <w:rPr>
                <w:rFonts w:ascii="Arial" w:hAnsi="Arial" w:cs="Arial"/>
              </w:rPr>
              <w:t>2</w:t>
            </w:r>
            <w:r w:rsidR="00EB7F0D" w:rsidRPr="00E07F80">
              <w:rPr>
                <w:rFonts w:ascii="Arial" w:hAnsi="Arial" w:cs="Arial"/>
              </w:rPr>
              <w:t>0</w:t>
            </w:r>
          </w:p>
        </w:tc>
      </w:tr>
      <w:tr w:rsidR="00813BCB" w:rsidRPr="00E07F80" w14:paraId="5088A0F8" w14:textId="77777777" w:rsidTr="00C85253">
        <w:trPr>
          <w:jc w:val="center"/>
        </w:trPr>
        <w:tc>
          <w:tcPr>
            <w:tcW w:w="3114" w:type="dxa"/>
          </w:tcPr>
          <w:p w14:paraId="0D60BFED" w14:textId="5AE6FCE1" w:rsidR="00453CD0" w:rsidRPr="00E07F80" w:rsidRDefault="00B6591F" w:rsidP="00E07F80">
            <w:pPr>
              <w:pStyle w:val="ListParagraph"/>
              <w:spacing w:after="120" w:line="360" w:lineRule="auto"/>
              <w:ind w:left="0"/>
              <w:contextualSpacing w:val="0"/>
              <w:jc w:val="both"/>
              <w:rPr>
                <w:rFonts w:ascii="Arial" w:hAnsi="Arial" w:cs="Arial"/>
              </w:rPr>
            </w:pPr>
            <w:r w:rsidRPr="003977DE">
              <w:rPr>
                <w:rFonts w:ascii="Arial" w:eastAsia="Times New Roman" w:hAnsi="Arial" w:cs="Arial"/>
              </w:rPr>
              <w:t>Experience in interoperability and data exchange between national systems or at EU-level or international platforms</w:t>
            </w:r>
          </w:p>
        </w:tc>
        <w:tc>
          <w:tcPr>
            <w:tcW w:w="3260" w:type="dxa"/>
          </w:tcPr>
          <w:p w14:paraId="53AFA463" w14:textId="7ED1EDFF" w:rsidR="00453CD0" w:rsidRPr="00E07F80" w:rsidRDefault="00307C67" w:rsidP="00E07F80">
            <w:pPr>
              <w:pStyle w:val="ListParagraph"/>
              <w:spacing w:after="120" w:line="360" w:lineRule="auto"/>
              <w:ind w:left="0"/>
              <w:contextualSpacing w:val="0"/>
              <w:jc w:val="both"/>
              <w:rPr>
                <w:rFonts w:ascii="Arial" w:hAnsi="Arial" w:cs="Arial"/>
              </w:rPr>
            </w:pPr>
            <w:r>
              <w:rPr>
                <w:rFonts w:ascii="Arial" w:hAnsi="Arial" w:cs="Arial"/>
              </w:rPr>
              <w:t>10</w:t>
            </w:r>
          </w:p>
        </w:tc>
        <w:tc>
          <w:tcPr>
            <w:tcW w:w="2256" w:type="dxa"/>
          </w:tcPr>
          <w:p w14:paraId="14425A23" w14:textId="68B8FDBC" w:rsidR="00453CD0" w:rsidRPr="00E07F80" w:rsidRDefault="00307C67" w:rsidP="00E07F80">
            <w:pPr>
              <w:pStyle w:val="ListParagraph"/>
              <w:spacing w:after="120" w:line="360" w:lineRule="auto"/>
              <w:ind w:left="0"/>
              <w:contextualSpacing w:val="0"/>
              <w:jc w:val="both"/>
              <w:rPr>
                <w:rFonts w:ascii="Arial" w:hAnsi="Arial" w:cs="Arial"/>
              </w:rPr>
            </w:pPr>
            <w:r>
              <w:rPr>
                <w:rFonts w:ascii="Arial" w:hAnsi="Arial" w:cs="Arial"/>
              </w:rPr>
              <w:t>2</w:t>
            </w:r>
            <w:r w:rsidR="00AA4B23" w:rsidRPr="00E07F80">
              <w:rPr>
                <w:rFonts w:ascii="Arial" w:hAnsi="Arial" w:cs="Arial"/>
              </w:rPr>
              <w:t>0</w:t>
            </w:r>
          </w:p>
        </w:tc>
      </w:tr>
      <w:tr w:rsidR="00813BCB" w:rsidRPr="00E07F80" w14:paraId="738DE4D5" w14:textId="77777777" w:rsidTr="00C85253">
        <w:trPr>
          <w:jc w:val="center"/>
        </w:trPr>
        <w:tc>
          <w:tcPr>
            <w:tcW w:w="3114" w:type="dxa"/>
          </w:tcPr>
          <w:p w14:paraId="24942309" w14:textId="21B977CA"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eastAsia="Times New Roman" w:hAnsi="Arial" w:cs="Arial"/>
              </w:rPr>
              <w:lastRenderedPageBreak/>
              <w:t>Experience in working in the Western Balkan environment</w:t>
            </w:r>
            <w:r w:rsidR="00927D53" w:rsidRPr="00E07F80">
              <w:rPr>
                <w:rFonts w:ascii="Arial" w:eastAsia="Times New Roman" w:hAnsi="Arial" w:cs="Arial"/>
              </w:rPr>
              <w:t xml:space="preserve"> </w:t>
            </w:r>
            <w:r w:rsidR="00FB52A6" w:rsidRPr="00E07F80">
              <w:rPr>
                <w:rFonts w:ascii="Arial" w:eastAsia="Times New Roman" w:hAnsi="Arial" w:cs="Arial"/>
              </w:rPr>
              <w:t>or</w:t>
            </w:r>
            <w:r w:rsidR="00927D53" w:rsidRPr="00E07F80">
              <w:rPr>
                <w:rFonts w:ascii="Arial" w:eastAsia="Times New Roman" w:hAnsi="Arial" w:cs="Arial"/>
              </w:rPr>
              <w:t xml:space="preserve"> EU</w:t>
            </w:r>
            <w:r w:rsidR="00302354">
              <w:rPr>
                <w:rFonts w:ascii="Arial" w:eastAsia="Times New Roman" w:hAnsi="Arial" w:cs="Arial"/>
              </w:rPr>
              <w:t xml:space="preserve"> </w:t>
            </w:r>
            <w:r w:rsidR="00ED2A1F" w:rsidRPr="00E07F80">
              <w:rPr>
                <w:rFonts w:ascii="Arial" w:eastAsia="Times New Roman" w:hAnsi="Arial" w:cs="Arial"/>
              </w:rPr>
              <w:t>/</w:t>
            </w:r>
            <w:r w:rsidR="00302354">
              <w:rPr>
                <w:rFonts w:ascii="Arial" w:eastAsia="Times New Roman" w:hAnsi="Arial" w:cs="Arial"/>
              </w:rPr>
              <w:t xml:space="preserve"> </w:t>
            </w:r>
            <w:r w:rsidR="00ED2A1F" w:rsidRPr="00E07F80">
              <w:rPr>
                <w:rFonts w:ascii="Arial" w:eastAsia="Times New Roman" w:hAnsi="Arial" w:cs="Arial"/>
              </w:rPr>
              <w:t xml:space="preserve">EU </w:t>
            </w:r>
            <w:r w:rsidR="00927D53" w:rsidRPr="00E07F80">
              <w:rPr>
                <w:rFonts w:ascii="Arial" w:eastAsia="Times New Roman" w:hAnsi="Arial" w:cs="Arial"/>
              </w:rPr>
              <w:t>pre-accession countries</w:t>
            </w:r>
          </w:p>
        </w:tc>
        <w:tc>
          <w:tcPr>
            <w:tcW w:w="3260" w:type="dxa"/>
          </w:tcPr>
          <w:p w14:paraId="6210DB0C" w14:textId="21343DDF" w:rsidR="00453CD0" w:rsidRPr="00E07F80" w:rsidRDefault="00947290" w:rsidP="00E07F80">
            <w:pPr>
              <w:pStyle w:val="ListParagraph"/>
              <w:spacing w:after="120" w:line="360" w:lineRule="auto"/>
              <w:ind w:left="0"/>
              <w:contextualSpacing w:val="0"/>
              <w:jc w:val="both"/>
              <w:rPr>
                <w:rFonts w:ascii="Arial" w:hAnsi="Arial" w:cs="Arial"/>
              </w:rPr>
            </w:pPr>
            <w:r>
              <w:rPr>
                <w:rFonts w:ascii="Arial" w:hAnsi="Arial" w:cs="Arial"/>
              </w:rPr>
              <w:t>1</w:t>
            </w:r>
            <w:r w:rsidR="00E07F80" w:rsidRPr="00E07F80">
              <w:rPr>
                <w:rFonts w:ascii="Arial" w:hAnsi="Arial" w:cs="Arial"/>
              </w:rPr>
              <w:t>0</w:t>
            </w:r>
          </w:p>
        </w:tc>
        <w:tc>
          <w:tcPr>
            <w:tcW w:w="2256" w:type="dxa"/>
          </w:tcPr>
          <w:p w14:paraId="3BB03FD7" w14:textId="6FBF6B4A" w:rsidR="00453CD0" w:rsidRPr="00E07F80" w:rsidRDefault="0005530B" w:rsidP="00E07F80">
            <w:pPr>
              <w:pStyle w:val="ListParagraph"/>
              <w:spacing w:after="120" w:line="360" w:lineRule="auto"/>
              <w:ind w:left="0"/>
              <w:contextualSpacing w:val="0"/>
              <w:jc w:val="both"/>
              <w:rPr>
                <w:rFonts w:ascii="Arial" w:hAnsi="Arial" w:cs="Arial"/>
              </w:rPr>
            </w:pPr>
            <w:r w:rsidRPr="00E07F80">
              <w:rPr>
                <w:rFonts w:ascii="Arial" w:hAnsi="Arial" w:cs="Arial"/>
              </w:rPr>
              <w:t>10</w:t>
            </w:r>
          </w:p>
        </w:tc>
      </w:tr>
      <w:tr w:rsidR="00813BCB" w:rsidRPr="00E07F80" w14:paraId="39382FD3" w14:textId="77777777" w:rsidTr="00C85253">
        <w:trPr>
          <w:jc w:val="center"/>
        </w:trPr>
        <w:tc>
          <w:tcPr>
            <w:tcW w:w="3114" w:type="dxa"/>
          </w:tcPr>
          <w:p w14:paraId="2590B565" w14:textId="77777777" w:rsidR="00453CD0" w:rsidRPr="00E07F80" w:rsidRDefault="00453CD0" w:rsidP="00E07F80">
            <w:pPr>
              <w:pStyle w:val="ListParagraph"/>
              <w:spacing w:after="120" w:line="360" w:lineRule="auto"/>
              <w:ind w:left="0"/>
              <w:contextualSpacing w:val="0"/>
              <w:jc w:val="both"/>
              <w:rPr>
                <w:rFonts w:ascii="Arial" w:eastAsia="Times New Roman" w:hAnsi="Arial" w:cs="Arial"/>
              </w:rPr>
            </w:pPr>
            <w:r w:rsidRPr="00E07F80">
              <w:rPr>
                <w:rFonts w:ascii="Arial" w:eastAsia="Times New Roman" w:hAnsi="Arial" w:cs="Arial"/>
              </w:rPr>
              <w:t xml:space="preserve">Total </w:t>
            </w:r>
          </w:p>
        </w:tc>
        <w:tc>
          <w:tcPr>
            <w:tcW w:w="3260" w:type="dxa"/>
          </w:tcPr>
          <w:p w14:paraId="3B8B9A77" w14:textId="777E0986" w:rsidR="00453CD0" w:rsidRPr="00E07F80" w:rsidRDefault="00BA5DCA" w:rsidP="00E07F80">
            <w:pPr>
              <w:pStyle w:val="ListParagraph"/>
              <w:spacing w:after="120" w:line="360" w:lineRule="auto"/>
              <w:ind w:left="0"/>
              <w:contextualSpacing w:val="0"/>
              <w:jc w:val="both"/>
              <w:rPr>
                <w:rFonts w:ascii="Arial" w:hAnsi="Arial" w:cs="Arial"/>
              </w:rPr>
            </w:pPr>
            <w:r>
              <w:rPr>
                <w:rFonts w:ascii="Arial" w:hAnsi="Arial" w:cs="Arial"/>
              </w:rPr>
              <w:t>5</w:t>
            </w:r>
            <w:r w:rsidR="00307C67">
              <w:rPr>
                <w:rFonts w:ascii="Arial" w:hAnsi="Arial" w:cs="Arial"/>
              </w:rPr>
              <w:t>0</w:t>
            </w:r>
          </w:p>
        </w:tc>
        <w:tc>
          <w:tcPr>
            <w:tcW w:w="2256" w:type="dxa"/>
          </w:tcPr>
          <w:p w14:paraId="75B1989A" w14:textId="77777777" w:rsidR="00453CD0" w:rsidRPr="00E07F80" w:rsidRDefault="00453CD0" w:rsidP="00E07F80">
            <w:pPr>
              <w:pStyle w:val="ListParagraph"/>
              <w:spacing w:after="120" w:line="360" w:lineRule="auto"/>
              <w:ind w:left="0"/>
              <w:contextualSpacing w:val="0"/>
              <w:jc w:val="both"/>
              <w:rPr>
                <w:rFonts w:ascii="Arial" w:hAnsi="Arial" w:cs="Arial"/>
              </w:rPr>
            </w:pPr>
            <w:r w:rsidRPr="00E07F80">
              <w:rPr>
                <w:rFonts w:ascii="Arial" w:hAnsi="Arial" w:cs="Arial"/>
              </w:rPr>
              <w:t>80</w:t>
            </w:r>
          </w:p>
        </w:tc>
      </w:tr>
    </w:tbl>
    <w:p w14:paraId="76962438" w14:textId="77777777" w:rsidR="005F2AB7" w:rsidRDefault="005F2AB7" w:rsidP="00C85253">
      <w:pPr>
        <w:pStyle w:val="ListParagraph"/>
        <w:spacing w:after="120" w:line="360" w:lineRule="auto"/>
        <w:ind w:left="0"/>
        <w:contextualSpacing w:val="0"/>
        <w:jc w:val="both"/>
        <w:rPr>
          <w:rFonts w:ascii="Arial" w:hAnsi="Arial" w:cs="Arial"/>
        </w:rPr>
      </w:pPr>
    </w:p>
    <w:p w14:paraId="2679CD6A" w14:textId="57D08BF5" w:rsidR="00773286" w:rsidRPr="00E07F80" w:rsidRDefault="00773286" w:rsidP="00C85253">
      <w:pPr>
        <w:pStyle w:val="ListParagraph"/>
        <w:spacing w:after="120" w:line="360" w:lineRule="auto"/>
        <w:ind w:left="0"/>
        <w:contextualSpacing w:val="0"/>
        <w:jc w:val="both"/>
        <w:rPr>
          <w:rFonts w:ascii="Arial" w:hAnsi="Arial" w:cs="Arial"/>
        </w:rPr>
      </w:pPr>
      <w:r w:rsidRPr="00E07F80">
        <w:rPr>
          <w:rFonts w:ascii="Arial" w:hAnsi="Arial" w:cs="Arial"/>
        </w:rPr>
        <w:t xml:space="preserve">The </w:t>
      </w:r>
      <w:r w:rsidR="003769EE" w:rsidRPr="00E07F80">
        <w:rPr>
          <w:rFonts w:ascii="Arial" w:hAnsi="Arial" w:cs="Arial"/>
        </w:rPr>
        <w:t>abovementioned work experience will be scored</w:t>
      </w:r>
      <w:r w:rsidRPr="00E07F80">
        <w:rPr>
          <w:rFonts w:ascii="Arial" w:hAnsi="Arial" w:cs="Arial"/>
        </w:rPr>
        <w:t xml:space="preserve"> based on the information provided in the CV</w:t>
      </w:r>
      <w:r w:rsidR="00453CD0" w:rsidRPr="00E07F80">
        <w:rPr>
          <w:rFonts w:ascii="Arial" w:hAnsi="Arial" w:cs="Arial"/>
        </w:rPr>
        <w:t xml:space="preserve"> and the </w:t>
      </w:r>
      <w:r w:rsidR="00453CD0" w:rsidRPr="00E07F80">
        <w:rPr>
          <w:rFonts w:ascii="Arial" w:eastAsia="Times New Roman" w:hAnsi="Arial" w:cs="Arial"/>
        </w:rPr>
        <w:t xml:space="preserve">reference letters as per point 6) of this </w:t>
      </w:r>
      <w:proofErr w:type="spellStart"/>
      <w:r w:rsidR="00453CD0" w:rsidRPr="00E07F80">
        <w:rPr>
          <w:rFonts w:ascii="Arial" w:eastAsia="Times New Roman" w:hAnsi="Arial" w:cs="Arial"/>
        </w:rPr>
        <w:t>ToR</w:t>
      </w:r>
      <w:proofErr w:type="spellEnd"/>
      <w:r w:rsidR="00453CD0" w:rsidRPr="00E07F80">
        <w:rPr>
          <w:rFonts w:ascii="Arial" w:eastAsia="Times New Roman" w:hAnsi="Arial" w:cs="Arial"/>
        </w:rPr>
        <w:t>.</w:t>
      </w:r>
      <w:r w:rsidRPr="00E07F80">
        <w:rPr>
          <w:rFonts w:ascii="Arial" w:hAnsi="Arial" w:cs="Arial"/>
        </w:rPr>
        <w:t xml:space="preserve"> </w:t>
      </w:r>
    </w:p>
    <w:p w14:paraId="67025F20" w14:textId="6EA86A3D" w:rsidR="00427150" w:rsidRPr="00E07F80" w:rsidRDefault="003769EE" w:rsidP="00C85253">
      <w:pPr>
        <w:pStyle w:val="ListParagraph"/>
        <w:spacing w:after="120" w:line="360" w:lineRule="auto"/>
        <w:ind w:left="0"/>
        <w:contextualSpacing w:val="0"/>
        <w:jc w:val="both"/>
        <w:rPr>
          <w:rFonts w:ascii="Arial" w:hAnsi="Arial" w:cs="Arial"/>
        </w:rPr>
      </w:pPr>
      <w:r w:rsidRPr="00E07F80">
        <w:rPr>
          <w:rFonts w:ascii="Arial" w:hAnsi="Arial" w:cs="Arial"/>
        </w:rPr>
        <w:t>The total</w:t>
      </w:r>
      <w:r w:rsidR="00427150" w:rsidRPr="00E07F80">
        <w:rPr>
          <w:rFonts w:ascii="Arial" w:hAnsi="Arial" w:cs="Arial"/>
        </w:rPr>
        <w:t xml:space="preserve"> maximum score for the selection criteria is 80. </w:t>
      </w:r>
      <w:r w:rsidR="00E10B7B" w:rsidRPr="00E07F80">
        <w:rPr>
          <w:rFonts w:ascii="Arial" w:hAnsi="Arial" w:cs="Arial"/>
        </w:rPr>
        <w:t>The total</w:t>
      </w:r>
      <w:r w:rsidR="00492B17" w:rsidRPr="00E07F80">
        <w:rPr>
          <w:rFonts w:ascii="Arial" w:hAnsi="Arial" w:cs="Arial"/>
        </w:rPr>
        <w:t xml:space="preserve"> maximum score for the financial offer is 20.</w:t>
      </w:r>
    </w:p>
    <w:p w14:paraId="67AD951A" w14:textId="05498598" w:rsidR="00C5310B" w:rsidRPr="00E07F80" w:rsidRDefault="00E10B7B" w:rsidP="00C85253">
      <w:pPr>
        <w:pStyle w:val="ListParagraph"/>
        <w:spacing w:after="120" w:line="360" w:lineRule="auto"/>
        <w:ind w:left="0"/>
        <w:contextualSpacing w:val="0"/>
        <w:jc w:val="both"/>
        <w:rPr>
          <w:rFonts w:ascii="Arial" w:hAnsi="Arial" w:cs="Arial"/>
        </w:rPr>
      </w:pPr>
      <w:r w:rsidRPr="00E07F80">
        <w:rPr>
          <w:rFonts w:ascii="Arial" w:hAnsi="Arial" w:cs="Arial"/>
        </w:rPr>
        <w:t xml:space="preserve">The offer with the highest score, combining work experience and offered price, will be proposed for the assignment, and the </w:t>
      </w:r>
      <w:r w:rsidR="6EE3ECE9" w:rsidRPr="00E07F80">
        <w:rPr>
          <w:rFonts w:ascii="Arial" w:hAnsi="Arial" w:cs="Arial"/>
        </w:rPr>
        <w:t>contract shall be signed</w:t>
      </w:r>
      <w:r w:rsidR="00492B17" w:rsidRPr="00E07F80">
        <w:rPr>
          <w:rFonts w:ascii="Arial" w:hAnsi="Arial" w:cs="Arial"/>
        </w:rPr>
        <w:t>.</w:t>
      </w:r>
    </w:p>
    <w:p w14:paraId="33F5EE72" w14:textId="4C979852" w:rsidR="0C8ED5B4" w:rsidRDefault="0C8ED5B4" w:rsidP="00C85253">
      <w:pPr>
        <w:pStyle w:val="ListParagraph"/>
        <w:spacing w:after="120" w:line="360" w:lineRule="auto"/>
        <w:ind w:left="0"/>
        <w:contextualSpacing w:val="0"/>
        <w:jc w:val="both"/>
        <w:rPr>
          <w:rFonts w:ascii="Arial" w:hAnsi="Arial" w:cs="Arial"/>
        </w:rPr>
      </w:pPr>
      <w:r w:rsidRPr="00E07F80">
        <w:rPr>
          <w:rFonts w:ascii="Arial" w:hAnsi="Arial" w:cs="Arial"/>
        </w:rPr>
        <w:t>No subcontracting is allowed for the assignment.</w:t>
      </w:r>
    </w:p>
    <w:p w14:paraId="6EED5D3B" w14:textId="77777777" w:rsidR="000B6141" w:rsidRPr="004F1EDD" w:rsidRDefault="000B6141" w:rsidP="000B6141">
      <w:pPr>
        <w:pStyle w:val="Heading2"/>
        <w:tabs>
          <w:tab w:val="left" w:pos="567"/>
        </w:tabs>
        <w:spacing w:after="240"/>
        <w:rPr>
          <w:rFonts w:cstheme="minorHAnsi"/>
        </w:rPr>
      </w:pPr>
      <w:r w:rsidRPr="004F1EDD">
        <w:rPr>
          <w:rFonts w:cstheme="minorHAnsi"/>
        </w:rPr>
        <w:t>Ranking of tenders</w:t>
      </w:r>
    </w:p>
    <w:p w14:paraId="231E8CDB" w14:textId="616CE5CC" w:rsidR="000B6141" w:rsidRPr="004F1EDD" w:rsidRDefault="000B6141" w:rsidP="000B6141">
      <w:pPr>
        <w:pStyle w:val="Text1"/>
        <w:tabs>
          <w:tab w:val="left" w:pos="567"/>
        </w:tabs>
        <w:spacing w:before="0" w:beforeAutospacing="0" w:after="240" w:afterAutospacing="0"/>
        <w:rPr>
          <w:rFonts w:asciiTheme="minorHAnsi" w:hAnsiTheme="minorHAnsi" w:cstheme="minorHAnsi"/>
          <w:b w:val="0"/>
          <w:sz w:val="22"/>
          <w:szCs w:val="22"/>
        </w:rPr>
      </w:pPr>
      <w:r w:rsidRPr="004F1EDD">
        <w:rPr>
          <w:rFonts w:asciiTheme="minorHAnsi" w:hAnsiTheme="minorHAnsi" w:cstheme="minorHAnsi"/>
          <w:b w:val="0"/>
          <w:sz w:val="22"/>
          <w:szCs w:val="22"/>
        </w:rPr>
        <w:t xml:space="preserve">The contract will be awarded to the most economically advantageous tender, i.e. the tender offering the best price-quality ratio determined in accordance with the formula below. A weight of </w:t>
      </w:r>
      <w:r>
        <w:rPr>
          <w:rFonts w:asciiTheme="minorHAnsi" w:hAnsiTheme="minorHAnsi" w:cstheme="minorHAnsi"/>
          <w:b w:val="0"/>
          <w:sz w:val="22"/>
          <w:szCs w:val="22"/>
        </w:rPr>
        <w:t>80</w:t>
      </w:r>
      <w:r w:rsidRPr="004F1EDD">
        <w:rPr>
          <w:rFonts w:asciiTheme="minorHAnsi" w:hAnsiTheme="minorHAnsi" w:cstheme="minorHAnsi"/>
          <w:b w:val="0"/>
          <w:sz w:val="22"/>
          <w:szCs w:val="22"/>
        </w:rPr>
        <w:t>/</w:t>
      </w:r>
      <w:r>
        <w:rPr>
          <w:rFonts w:asciiTheme="minorHAnsi" w:hAnsiTheme="minorHAnsi" w:cstheme="minorHAnsi"/>
          <w:b w:val="0"/>
          <w:sz w:val="22"/>
          <w:szCs w:val="22"/>
        </w:rPr>
        <w:t>20</w:t>
      </w:r>
      <w:r w:rsidRPr="004F1EDD">
        <w:rPr>
          <w:rFonts w:asciiTheme="minorHAnsi" w:hAnsiTheme="minorHAnsi" w:cstheme="minorHAnsi"/>
          <w:b w:val="0"/>
          <w:sz w:val="22"/>
          <w:szCs w:val="22"/>
        </w:rPr>
        <w:t xml:space="preserve"> is given to quality and price. </w:t>
      </w:r>
    </w:p>
    <w:tbl>
      <w:tblPr>
        <w:tblW w:w="9034" w:type="dxa"/>
        <w:tblInd w:w="-108" w:type="dxa"/>
        <w:tblLayout w:type="fixed"/>
        <w:tblLook w:val="04A0" w:firstRow="1" w:lastRow="0" w:firstColumn="1" w:lastColumn="0" w:noHBand="0" w:noVBand="1"/>
      </w:tblPr>
      <w:tblGrid>
        <w:gridCol w:w="1237"/>
        <w:gridCol w:w="426"/>
        <w:gridCol w:w="1417"/>
        <w:gridCol w:w="284"/>
        <w:gridCol w:w="1046"/>
        <w:gridCol w:w="371"/>
        <w:gridCol w:w="709"/>
        <w:gridCol w:w="425"/>
        <w:gridCol w:w="2023"/>
        <w:gridCol w:w="387"/>
        <w:gridCol w:w="709"/>
      </w:tblGrid>
      <w:tr w:rsidR="000B6141" w:rsidRPr="004F1EDD" w14:paraId="14E37690" w14:textId="77777777">
        <w:trPr>
          <w:trHeight w:val="231"/>
        </w:trPr>
        <w:tc>
          <w:tcPr>
            <w:tcW w:w="1237" w:type="dxa"/>
            <w:tcBorders>
              <w:top w:val="single" w:sz="4" w:space="0" w:color="auto"/>
              <w:left w:val="single" w:sz="4" w:space="0" w:color="auto"/>
              <w:bottom w:val="single" w:sz="4" w:space="0" w:color="auto"/>
              <w:right w:val="single" w:sz="4" w:space="0" w:color="auto"/>
            </w:tcBorders>
          </w:tcPr>
          <w:p w14:paraId="660E811A" w14:textId="3DEB91EC"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Score for tender X </w:t>
            </w:r>
          </w:p>
        </w:tc>
        <w:tc>
          <w:tcPr>
            <w:tcW w:w="426" w:type="dxa"/>
            <w:tcBorders>
              <w:top w:val="single" w:sz="4" w:space="0" w:color="auto"/>
              <w:left w:val="single" w:sz="4" w:space="0" w:color="auto"/>
              <w:bottom w:val="single" w:sz="4" w:space="0" w:color="auto"/>
              <w:right w:val="single" w:sz="4" w:space="0" w:color="auto"/>
            </w:tcBorders>
          </w:tcPr>
          <w:p w14:paraId="557BB097"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 </w:t>
            </w:r>
          </w:p>
        </w:tc>
        <w:tc>
          <w:tcPr>
            <w:tcW w:w="1417" w:type="dxa"/>
            <w:tcBorders>
              <w:top w:val="single" w:sz="4" w:space="0" w:color="auto"/>
              <w:left w:val="single" w:sz="4" w:space="0" w:color="auto"/>
              <w:bottom w:val="single" w:sz="4" w:space="0" w:color="auto"/>
              <w:right w:val="single" w:sz="4" w:space="0" w:color="auto"/>
            </w:tcBorders>
          </w:tcPr>
          <w:p w14:paraId="05326B26"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cheapest price</w:t>
            </w:r>
          </w:p>
          <w:p w14:paraId="7A453F8F"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__________</w:t>
            </w:r>
          </w:p>
          <w:p w14:paraId="4DA437FA"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price of tender X </w:t>
            </w:r>
          </w:p>
        </w:tc>
        <w:tc>
          <w:tcPr>
            <w:tcW w:w="284" w:type="dxa"/>
            <w:tcBorders>
              <w:top w:val="single" w:sz="4" w:space="0" w:color="auto"/>
              <w:left w:val="single" w:sz="4" w:space="0" w:color="auto"/>
              <w:bottom w:val="single" w:sz="4" w:space="0" w:color="auto"/>
              <w:right w:val="single" w:sz="4" w:space="0" w:color="auto"/>
            </w:tcBorders>
          </w:tcPr>
          <w:p w14:paraId="3004425F"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 </w:t>
            </w:r>
          </w:p>
        </w:tc>
        <w:tc>
          <w:tcPr>
            <w:tcW w:w="1046" w:type="dxa"/>
            <w:tcBorders>
              <w:top w:val="single" w:sz="4" w:space="0" w:color="auto"/>
              <w:left w:val="single" w:sz="4" w:space="0" w:color="auto"/>
              <w:bottom w:val="single" w:sz="4" w:space="0" w:color="auto"/>
              <w:right w:val="single" w:sz="4" w:space="0" w:color="auto"/>
            </w:tcBorders>
          </w:tcPr>
          <w:p w14:paraId="2E72F41B"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100 </w:t>
            </w:r>
          </w:p>
        </w:tc>
        <w:tc>
          <w:tcPr>
            <w:tcW w:w="371" w:type="dxa"/>
            <w:tcBorders>
              <w:top w:val="single" w:sz="4" w:space="0" w:color="auto"/>
              <w:left w:val="single" w:sz="4" w:space="0" w:color="auto"/>
              <w:bottom w:val="single" w:sz="4" w:space="0" w:color="auto"/>
              <w:right w:val="single" w:sz="4" w:space="0" w:color="auto"/>
            </w:tcBorders>
          </w:tcPr>
          <w:p w14:paraId="0B0B6F20" w14:textId="77777777" w:rsidR="000B6141" w:rsidRPr="004F1EDD"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4F1EDD">
              <w:rPr>
                <w:rFonts w:asciiTheme="minorHAnsi" w:hAnsiTheme="minorHAnsi" w:cstheme="minorHAnsi"/>
                <w:b w:val="0"/>
                <w:bCs/>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50B2E4C2" w14:textId="552A0198" w:rsidR="000B6141" w:rsidRPr="00F50183"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F50183">
              <w:rPr>
                <w:rFonts w:asciiTheme="minorHAnsi" w:hAnsiTheme="minorHAnsi" w:cstheme="minorHAnsi"/>
                <w:b w:val="0"/>
                <w:bCs/>
                <w:sz w:val="22"/>
                <w:szCs w:val="22"/>
              </w:rPr>
              <w:t>2</w:t>
            </w:r>
            <w:r>
              <w:rPr>
                <w:rFonts w:asciiTheme="minorHAnsi" w:hAnsiTheme="minorHAnsi" w:cstheme="minorHAnsi"/>
                <w:b w:val="0"/>
                <w:bCs/>
                <w:sz w:val="22"/>
                <w:szCs w:val="22"/>
              </w:rPr>
              <w:t>0</w:t>
            </w:r>
            <w:r w:rsidRPr="00F50183">
              <w:rPr>
                <w:rFonts w:asciiTheme="minorHAnsi" w:hAnsiTheme="minorHAnsi" w:cstheme="minorHAnsi"/>
                <w:b w:val="0"/>
                <w:bCs/>
                <w:sz w:val="22"/>
                <w:szCs w:val="22"/>
              </w:rPr>
              <w:t>%</w:t>
            </w:r>
          </w:p>
        </w:tc>
        <w:tc>
          <w:tcPr>
            <w:tcW w:w="425" w:type="dxa"/>
            <w:tcBorders>
              <w:top w:val="single" w:sz="4" w:space="0" w:color="auto"/>
              <w:left w:val="single" w:sz="4" w:space="0" w:color="auto"/>
              <w:bottom w:val="single" w:sz="4" w:space="0" w:color="auto"/>
              <w:right w:val="single" w:sz="4" w:space="0" w:color="auto"/>
            </w:tcBorders>
          </w:tcPr>
          <w:p w14:paraId="79FEC0E9" w14:textId="77777777" w:rsidR="000B6141" w:rsidRPr="00F50183"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F50183">
              <w:rPr>
                <w:rFonts w:asciiTheme="minorHAnsi" w:hAnsiTheme="minorHAnsi" w:cstheme="minorHAnsi"/>
                <w:b w:val="0"/>
                <w:bCs/>
                <w:sz w:val="22"/>
                <w:szCs w:val="22"/>
              </w:rPr>
              <w:t xml:space="preserve">+ </w:t>
            </w:r>
          </w:p>
        </w:tc>
        <w:tc>
          <w:tcPr>
            <w:tcW w:w="2023" w:type="dxa"/>
            <w:tcBorders>
              <w:top w:val="single" w:sz="4" w:space="0" w:color="auto"/>
              <w:left w:val="single" w:sz="4" w:space="0" w:color="auto"/>
              <w:bottom w:val="single" w:sz="4" w:space="0" w:color="auto"/>
              <w:right w:val="single" w:sz="4" w:space="0" w:color="auto"/>
            </w:tcBorders>
          </w:tcPr>
          <w:p w14:paraId="3D3BB410" w14:textId="77777777" w:rsidR="000B6141" w:rsidRPr="00F50183"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F50183">
              <w:rPr>
                <w:rFonts w:asciiTheme="minorHAnsi" w:hAnsiTheme="minorHAnsi" w:cstheme="minorHAnsi"/>
                <w:b w:val="0"/>
                <w:bCs/>
                <w:sz w:val="22"/>
                <w:szCs w:val="22"/>
              </w:rPr>
              <w:t xml:space="preserve">total quality score (out of 100) for all award criteria of tender X </w:t>
            </w:r>
          </w:p>
        </w:tc>
        <w:tc>
          <w:tcPr>
            <w:tcW w:w="387" w:type="dxa"/>
            <w:tcBorders>
              <w:top w:val="single" w:sz="4" w:space="0" w:color="auto"/>
              <w:left w:val="single" w:sz="4" w:space="0" w:color="auto"/>
              <w:bottom w:val="single" w:sz="4" w:space="0" w:color="auto"/>
              <w:right w:val="single" w:sz="4" w:space="0" w:color="auto"/>
            </w:tcBorders>
          </w:tcPr>
          <w:p w14:paraId="3677A8BF" w14:textId="77777777" w:rsidR="000B6141" w:rsidRPr="00F50183" w:rsidRDefault="000B6141">
            <w:pPr>
              <w:pStyle w:val="Text1"/>
              <w:tabs>
                <w:tab w:val="left" w:pos="567"/>
              </w:tabs>
              <w:spacing w:before="0" w:beforeAutospacing="0" w:after="240" w:afterAutospacing="0"/>
              <w:rPr>
                <w:rFonts w:asciiTheme="minorHAnsi" w:hAnsiTheme="minorHAnsi" w:cstheme="minorHAnsi"/>
                <w:b w:val="0"/>
                <w:bCs/>
                <w:sz w:val="22"/>
                <w:szCs w:val="22"/>
              </w:rPr>
            </w:pPr>
            <w:r w:rsidRPr="00F50183">
              <w:rPr>
                <w:rFonts w:asciiTheme="minorHAnsi" w:hAnsiTheme="minorHAnsi" w:cstheme="minorHAnsi"/>
                <w:b w:val="0"/>
                <w:bCs/>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2791868C" w14:textId="56584229" w:rsidR="000B6141" w:rsidRPr="00F50183" w:rsidRDefault="000B6141">
            <w:pPr>
              <w:pStyle w:val="Text1"/>
              <w:tabs>
                <w:tab w:val="left" w:pos="567"/>
              </w:tabs>
              <w:spacing w:before="0" w:beforeAutospacing="0" w:after="240" w:afterAutospacing="0"/>
              <w:rPr>
                <w:rFonts w:asciiTheme="minorHAnsi" w:hAnsiTheme="minorHAnsi" w:cstheme="minorHAnsi"/>
                <w:b w:val="0"/>
                <w:bCs/>
                <w:sz w:val="22"/>
                <w:szCs w:val="22"/>
              </w:rPr>
            </w:pPr>
            <w:r>
              <w:rPr>
                <w:rFonts w:asciiTheme="minorHAnsi" w:hAnsiTheme="minorHAnsi" w:cstheme="minorHAnsi"/>
                <w:b w:val="0"/>
                <w:bCs/>
                <w:sz w:val="22"/>
                <w:szCs w:val="22"/>
              </w:rPr>
              <w:t>80</w:t>
            </w:r>
            <w:r w:rsidRPr="00F50183">
              <w:rPr>
                <w:rFonts w:asciiTheme="minorHAnsi" w:hAnsiTheme="minorHAnsi" w:cstheme="minorHAnsi"/>
                <w:b w:val="0"/>
                <w:bCs/>
                <w:sz w:val="22"/>
                <w:szCs w:val="22"/>
              </w:rPr>
              <w:t xml:space="preserve">% </w:t>
            </w:r>
          </w:p>
        </w:tc>
      </w:tr>
    </w:tbl>
    <w:p w14:paraId="754833A6" w14:textId="77777777" w:rsidR="000B6141" w:rsidRPr="004F1EDD" w:rsidRDefault="000B6141" w:rsidP="000B6141">
      <w:pPr>
        <w:tabs>
          <w:tab w:val="left" w:pos="567"/>
        </w:tabs>
        <w:spacing w:after="240"/>
        <w:rPr>
          <w:rFonts w:cstheme="minorHAnsi"/>
        </w:rPr>
      </w:pPr>
    </w:p>
    <w:p w14:paraId="41B2DB15" w14:textId="77777777" w:rsidR="0C8ED5B4" w:rsidRPr="00E07F80" w:rsidRDefault="0C8ED5B4" w:rsidP="00C85253">
      <w:pPr>
        <w:pStyle w:val="ListParagraph"/>
        <w:spacing w:after="120" w:line="360" w:lineRule="auto"/>
        <w:ind w:left="0"/>
        <w:contextualSpacing w:val="0"/>
        <w:jc w:val="both"/>
        <w:rPr>
          <w:rFonts w:ascii="Arial" w:hAnsi="Arial" w:cs="Arial"/>
        </w:rPr>
      </w:pPr>
    </w:p>
    <w:sectPr w:rsidR="0C8ED5B4" w:rsidRPr="00E07F80" w:rsidSect="00ED2A1F">
      <w:headerReference w:type="default" r:id="rId11"/>
      <w:pgSz w:w="12240" w:h="15840"/>
      <w:pgMar w:top="1985" w:right="1440" w:bottom="1440" w:left="1440" w:header="720" w:footer="12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89586" w14:textId="77777777" w:rsidR="00A1554F" w:rsidRDefault="00A1554F" w:rsidP="00215525">
      <w:pPr>
        <w:spacing w:after="0" w:line="240" w:lineRule="auto"/>
      </w:pPr>
      <w:r>
        <w:separator/>
      </w:r>
    </w:p>
  </w:endnote>
  <w:endnote w:type="continuationSeparator" w:id="0">
    <w:p w14:paraId="401A9352" w14:textId="77777777" w:rsidR="00A1554F" w:rsidRDefault="00A1554F" w:rsidP="00215525">
      <w:pPr>
        <w:spacing w:after="0" w:line="240" w:lineRule="auto"/>
      </w:pPr>
      <w:r>
        <w:continuationSeparator/>
      </w:r>
    </w:p>
  </w:endnote>
  <w:endnote w:type="continuationNotice" w:id="1">
    <w:p w14:paraId="4DF71E81" w14:textId="77777777" w:rsidR="00A1554F" w:rsidRDefault="00A15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8CD5F" w14:textId="77777777" w:rsidR="00A1554F" w:rsidRDefault="00A1554F" w:rsidP="00215525">
      <w:pPr>
        <w:spacing w:after="0" w:line="240" w:lineRule="auto"/>
      </w:pPr>
      <w:r>
        <w:separator/>
      </w:r>
    </w:p>
  </w:footnote>
  <w:footnote w:type="continuationSeparator" w:id="0">
    <w:p w14:paraId="1E826595" w14:textId="77777777" w:rsidR="00A1554F" w:rsidRDefault="00A1554F" w:rsidP="00215525">
      <w:pPr>
        <w:spacing w:after="0" w:line="240" w:lineRule="auto"/>
      </w:pPr>
      <w:r>
        <w:continuationSeparator/>
      </w:r>
    </w:p>
  </w:footnote>
  <w:footnote w:type="continuationNotice" w:id="1">
    <w:p w14:paraId="3E3B9F95" w14:textId="77777777" w:rsidR="00A1554F" w:rsidRDefault="00A1554F">
      <w:pPr>
        <w:spacing w:after="0" w:line="240" w:lineRule="auto"/>
      </w:pPr>
    </w:p>
  </w:footnote>
  <w:footnote w:id="2">
    <w:p w14:paraId="65945AC6" w14:textId="77777777" w:rsidR="00215525" w:rsidRPr="00C9783F" w:rsidRDefault="00215525" w:rsidP="00F335C6">
      <w:pPr>
        <w:pStyle w:val="FootnoteText"/>
        <w:jc w:val="both"/>
        <w:rPr>
          <w:sz w:val="16"/>
          <w:szCs w:val="16"/>
        </w:rPr>
      </w:pPr>
      <w:r w:rsidRPr="00C9783F">
        <w:rPr>
          <w:sz w:val="16"/>
          <w:szCs w:val="16"/>
        </w:rPr>
        <w:t>* This designation is without prejudice to positions on status, and is in line with UNSCR 1244/1999 and the ICJ Opinion on the Kosovo declaration of independence</w:t>
      </w:r>
    </w:p>
    <w:p w14:paraId="37C8AC6B" w14:textId="7E010855" w:rsidR="00215525" w:rsidRPr="00C9783F" w:rsidRDefault="00215525" w:rsidP="00215525">
      <w:pPr>
        <w:pStyle w:val="FootnoteText"/>
        <w:rPr>
          <w:sz w:val="16"/>
          <w:szCs w:val="16"/>
        </w:rPr>
      </w:pPr>
      <w:r w:rsidRPr="00C9783F">
        <w:rPr>
          <w:rStyle w:val="FootnoteReference"/>
        </w:rPr>
        <w:footnoteRef/>
      </w:r>
      <w:r w:rsidRPr="00C9783F">
        <w:t xml:space="preserve"> </w:t>
      </w:r>
      <w:hyperlink r:id="rId1" w:history="1">
        <w:r w:rsidRPr="00C9783F">
          <w:rPr>
            <w:rStyle w:val="Hyperlink"/>
            <w:color w:val="auto"/>
            <w:sz w:val="16"/>
            <w:szCs w:val="16"/>
            <w:u w:val="none"/>
          </w:rPr>
          <w:t>https://www.transport-community.org/wp-content/uploads/2022/10/treaty-en.pdf</w:t>
        </w:r>
      </w:hyperlink>
      <w:r w:rsidRPr="00C9783F">
        <w:rPr>
          <w:rStyle w:val="Hyperlink"/>
          <w:color w:val="auto"/>
          <w:sz w:val="16"/>
          <w:szCs w:val="16"/>
          <w:u w:val="none"/>
        </w:rPr>
        <w:t xml:space="preserve"> </w:t>
      </w:r>
      <w:r w:rsidRPr="00C9783F">
        <w:rPr>
          <w:sz w:val="16"/>
          <w:szCs w:val="16"/>
        </w:rPr>
        <w:t xml:space="preserve"> </w:t>
      </w:r>
    </w:p>
  </w:footnote>
  <w:footnote w:id="3">
    <w:p w14:paraId="4849F173" w14:textId="0DE44FAE" w:rsidR="00FA16E2" w:rsidRPr="00C9783F" w:rsidRDefault="00FA16E2">
      <w:pPr>
        <w:pStyle w:val="FootnoteText"/>
      </w:pPr>
      <w:r w:rsidRPr="00C9783F">
        <w:rPr>
          <w:rStyle w:val="FootnoteReference"/>
        </w:rPr>
        <w:footnoteRef/>
      </w:r>
      <w:r w:rsidRPr="00C9783F">
        <w:t xml:space="preserve"> </w:t>
      </w:r>
      <w:hyperlink r:id="rId2" w:history="1">
        <w:r w:rsidRPr="00C9783F">
          <w:rPr>
            <w:rStyle w:val="Hyperlink"/>
            <w:color w:val="auto"/>
            <w:sz w:val="16"/>
            <w:szCs w:val="16"/>
            <w:u w:val="none"/>
          </w:rPr>
          <w:t>https://www.transport-community.org/wp-content/uploads/2024/07/annex-1.pdf</w:t>
        </w:r>
      </w:hyperlink>
      <w:r w:rsidRPr="00C9783F">
        <w:t xml:space="preserve"> </w:t>
      </w:r>
    </w:p>
  </w:footnote>
  <w:footnote w:id="4">
    <w:p w14:paraId="5D791343" w14:textId="755DE988" w:rsidR="008E7BFC" w:rsidRPr="008E7BFC" w:rsidRDefault="008E7BFC">
      <w:pPr>
        <w:pStyle w:val="FootnoteText"/>
        <w:rPr>
          <w:lang w:val="en-US"/>
        </w:rPr>
      </w:pPr>
      <w:r>
        <w:rPr>
          <w:rStyle w:val="FootnoteReference"/>
        </w:rPr>
        <w:footnoteRef/>
      </w:r>
      <w:r>
        <w:t xml:space="preserve"> </w:t>
      </w:r>
      <w:r w:rsidRPr="008E7BFC">
        <w:rPr>
          <w:sz w:val="16"/>
          <w:szCs w:val="16"/>
        </w:rPr>
        <w:t>https://www.transport-community.org/wp-content/uploads/2025/05/Next-Generation-RAIL-Action-Plan-for-the-Western-Balkans-digital.pdf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BCB9F" w14:textId="0C608887" w:rsidR="00183341" w:rsidRDefault="00183341" w:rsidP="00183341">
    <w:pPr>
      <w:pStyle w:val="Header"/>
    </w:pPr>
    <w:r>
      <w:rPr>
        <w:noProof/>
      </w:rPr>
      <w:drawing>
        <wp:anchor distT="0" distB="0" distL="114300" distR="114300" simplePos="0" relativeHeight="251658240" behindDoc="1" locked="0" layoutInCell="1" allowOverlap="1" wp14:anchorId="236A1732" wp14:editId="492C815F">
          <wp:simplePos x="0" y="0"/>
          <wp:positionH relativeFrom="page">
            <wp:posOffset>355</wp:posOffset>
          </wp:positionH>
          <wp:positionV relativeFrom="paragraph">
            <wp:posOffset>-945515</wp:posOffset>
          </wp:positionV>
          <wp:extent cx="7559040" cy="10688822"/>
          <wp:effectExtent l="0" t="0" r="0" b="0"/>
          <wp:wrapNone/>
          <wp:docPr id="828185010" name="Picture 3" descr="A black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06242" name="Picture 3" descr="A black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040" cy="10688822"/>
                  </a:xfrm>
                  <a:prstGeom prst="rect">
                    <a:avLst/>
                  </a:prstGeom>
                </pic:spPr>
              </pic:pic>
            </a:graphicData>
          </a:graphic>
          <wp14:sizeRelH relativeFrom="margin">
            <wp14:pctWidth>0</wp14:pctWidth>
          </wp14:sizeRelH>
          <wp14:sizeRelV relativeFrom="margin">
            <wp14:pctHeight>0</wp14:pctHeight>
          </wp14:sizeRelV>
        </wp:anchor>
      </w:drawing>
    </w:r>
  </w:p>
  <w:p w14:paraId="115A6C3A" w14:textId="77777777" w:rsidR="00183341" w:rsidRDefault="00183341" w:rsidP="00183341">
    <w:pPr>
      <w:pStyle w:val="Header"/>
    </w:pPr>
  </w:p>
  <w:p w14:paraId="134EF9FC" w14:textId="77777777" w:rsidR="00183341" w:rsidRDefault="00183341" w:rsidP="00183341">
    <w:pPr>
      <w:pStyle w:val="Header"/>
    </w:pPr>
  </w:p>
  <w:p w14:paraId="3E6F45FD" w14:textId="118D21D5" w:rsidR="000A7EF7" w:rsidRPr="00183341" w:rsidRDefault="00183341" w:rsidP="00183341">
    <w:pPr>
      <w:pStyle w:val="Header"/>
      <w:rPr>
        <w:rFonts w:ascii="Arial" w:hAnsi="Arial" w:cs="Arial"/>
        <w:sz w:val="18"/>
        <w:szCs w:val="18"/>
      </w:rPr>
    </w:pPr>
    <w:r w:rsidRPr="00183341">
      <w:rPr>
        <w:rFonts w:ascii="Arial" w:hAnsi="Arial" w:cs="Arial"/>
        <w:sz w:val="18"/>
        <w:szCs w:val="18"/>
      </w:rPr>
      <w:t xml:space="preserve">Ref. No. </w:t>
    </w:r>
    <w:r w:rsidR="004541B9" w:rsidRPr="004541B9">
      <w:rPr>
        <w:rFonts w:ascii="Arial" w:hAnsi="Arial" w:cs="Arial"/>
        <w:sz w:val="18"/>
        <w:szCs w:val="18"/>
      </w:rPr>
      <w:t>255</w:t>
    </w:r>
    <w:r w:rsidR="00CB4C19" w:rsidRPr="004541B9">
      <w:rPr>
        <w:rFonts w:ascii="Arial" w:hAnsi="Arial" w:cs="Arial"/>
        <w:sz w:val="18"/>
        <w:szCs w:val="18"/>
      </w:rPr>
      <w:t>/1</w:t>
    </w:r>
    <w:r w:rsidRPr="004541B9">
      <w:rPr>
        <w:rFonts w:ascii="Arial" w:hAnsi="Arial" w:cs="Arial"/>
        <w:sz w:val="18"/>
        <w:szCs w:val="18"/>
      </w:rPr>
      <w:t>-05-2026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F7717"/>
    <w:multiLevelType w:val="multilevel"/>
    <w:tmpl w:val="15DE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C6775"/>
    <w:multiLevelType w:val="multilevel"/>
    <w:tmpl w:val="8E20C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D6FC2"/>
    <w:multiLevelType w:val="multilevel"/>
    <w:tmpl w:val="44C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E8480C"/>
    <w:multiLevelType w:val="multilevel"/>
    <w:tmpl w:val="5E40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B10460"/>
    <w:multiLevelType w:val="hybridMultilevel"/>
    <w:tmpl w:val="646E3F52"/>
    <w:lvl w:ilvl="0" w:tplc="04090017">
      <w:start w:val="1"/>
      <w:numFmt w:val="lowerLetter"/>
      <w:lvlText w:val="%1)"/>
      <w:lvlJc w:val="left"/>
      <w:pPr>
        <w:ind w:left="1440" w:hanging="360"/>
      </w:pPr>
      <w:rPr>
        <w:rFonts w:hint="default"/>
      </w:rPr>
    </w:lvl>
    <w:lvl w:ilvl="1" w:tplc="FFFFFFFF">
      <w:numFmt w:val="bullet"/>
      <w:lvlText w:val="-"/>
      <w:lvlJc w:val="left"/>
      <w:pPr>
        <w:ind w:left="2520" w:hanging="720"/>
      </w:pPr>
      <w:rPr>
        <w:rFonts w:ascii="Arial" w:eastAsia="Times New Roman" w:hAnsi="Arial" w:cs="Aria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458A71F0"/>
    <w:multiLevelType w:val="multilevel"/>
    <w:tmpl w:val="9EA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EE6F66"/>
    <w:multiLevelType w:val="hybridMultilevel"/>
    <w:tmpl w:val="43CAFB64"/>
    <w:lvl w:ilvl="0" w:tplc="F09E5F9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6905CE"/>
    <w:multiLevelType w:val="hybridMultilevel"/>
    <w:tmpl w:val="828CD1CA"/>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4A95743F"/>
    <w:multiLevelType w:val="multilevel"/>
    <w:tmpl w:val="D8A0F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F114E4"/>
    <w:multiLevelType w:val="multilevel"/>
    <w:tmpl w:val="D870BC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AB4EA0"/>
    <w:multiLevelType w:val="multilevel"/>
    <w:tmpl w:val="514C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E1016"/>
    <w:multiLevelType w:val="multilevel"/>
    <w:tmpl w:val="C3FE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274E9B"/>
    <w:multiLevelType w:val="multilevel"/>
    <w:tmpl w:val="8C5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B06FA7"/>
    <w:multiLevelType w:val="multilevel"/>
    <w:tmpl w:val="6ECA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167F84"/>
    <w:multiLevelType w:val="hybridMultilevel"/>
    <w:tmpl w:val="79DA01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15A6CCF"/>
    <w:multiLevelType w:val="hybridMultilevel"/>
    <w:tmpl w:val="AB4AC7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E47DA1"/>
    <w:multiLevelType w:val="multilevel"/>
    <w:tmpl w:val="B55E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357019">
    <w:abstractNumId w:val="6"/>
  </w:num>
  <w:num w:numId="2" w16cid:durableId="318656704">
    <w:abstractNumId w:val="4"/>
  </w:num>
  <w:num w:numId="3" w16cid:durableId="310596502">
    <w:abstractNumId w:val="16"/>
  </w:num>
  <w:num w:numId="4" w16cid:durableId="210266260">
    <w:abstractNumId w:val="9"/>
  </w:num>
  <w:num w:numId="5" w16cid:durableId="1668628238">
    <w:abstractNumId w:val="12"/>
  </w:num>
  <w:num w:numId="6" w16cid:durableId="969241757">
    <w:abstractNumId w:val="3"/>
  </w:num>
  <w:num w:numId="7" w16cid:durableId="1536581723">
    <w:abstractNumId w:val="7"/>
  </w:num>
  <w:num w:numId="8" w16cid:durableId="1560822062">
    <w:abstractNumId w:val="5"/>
  </w:num>
  <w:num w:numId="9" w16cid:durableId="1997175732">
    <w:abstractNumId w:val="2"/>
  </w:num>
  <w:num w:numId="10" w16cid:durableId="1221406207">
    <w:abstractNumId w:val="13"/>
  </w:num>
  <w:num w:numId="11" w16cid:durableId="694161745">
    <w:abstractNumId w:val="10"/>
  </w:num>
  <w:num w:numId="12" w16cid:durableId="1273050559">
    <w:abstractNumId w:val="0"/>
  </w:num>
  <w:num w:numId="13" w16cid:durableId="500435610">
    <w:abstractNumId w:val="1"/>
  </w:num>
  <w:num w:numId="14" w16cid:durableId="14118123">
    <w:abstractNumId w:val="11"/>
  </w:num>
  <w:num w:numId="15" w16cid:durableId="1736925850">
    <w:abstractNumId w:val="14"/>
  </w:num>
  <w:num w:numId="16" w16cid:durableId="753355783">
    <w:abstractNumId w:val="15"/>
  </w:num>
  <w:num w:numId="17" w16cid:durableId="208440288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yMzE3srC0NLA0tDRQ0lEKTi0uzszPAykwrQUA24ai5iwAAAA="/>
  </w:docVars>
  <w:rsids>
    <w:rsidRoot w:val="00FE79E9"/>
    <w:rsid w:val="00005CD7"/>
    <w:rsid w:val="00006D49"/>
    <w:rsid w:val="00022218"/>
    <w:rsid w:val="00023CE5"/>
    <w:rsid w:val="00024539"/>
    <w:rsid w:val="000321AD"/>
    <w:rsid w:val="00035F7E"/>
    <w:rsid w:val="000368D2"/>
    <w:rsid w:val="00040036"/>
    <w:rsid w:val="00043070"/>
    <w:rsid w:val="00043361"/>
    <w:rsid w:val="0004344B"/>
    <w:rsid w:val="0005058F"/>
    <w:rsid w:val="000505EE"/>
    <w:rsid w:val="000540AC"/>
    <w:rsid w:val="00054762"/>
    <w:rsid w:val="00055151"/>
    <w:rsid w:val="0005530B"/>
    <w:rsid w:val="00055EB3"/>
    <w:rsid w:val="000607B4"/>
    <w:rsid w:val="00072063"/>
    <w:rsid w:val="00073B51"/>
    <w:rsid w:val="00073EB4"/>
    <w:rsid w:val="000742CA"/>
    <w:rsid w:val="00075951"/>
    <w:rsid w:val="00076244"/>
    <w:rsid w:val="00083B69"/>
    <w:rsid w:val="00085010"/>
    <w:rsid w:val="0009264B"/>
    <w:rsid w:val="000A0726"/>
    <w:rsid w:val="000A08B2"/>
    <w:rsid w:val="000A5228"/>
    <w:rsid w:val="000A6385"/>
    <w:rsid w:val="000A7EF7"/>
    <w:rsid w:val="000B4491"/>
    <w:rsid w:val="000B6141"/>
    <w:rsid w:val="000B62EC"/>
    <w:rsid w:val="000C1838"/>
    <w:rsid w:val="000C2E5D"/>
    <w:rsid w:val="000D03CF"/>
    <w:rsid w:val="000D0B60"/>
    <w:rsid w:val="000D3D49"/>
    <w:rsid w:val="000E45D1"/>
    <w:rsid w:val="000E5400"/>
    <w:rsid w:val="000E554E"/>
    <w:rsid w:val="000F192A"/>
    <w:rsid w:val="000F328B"/>
    <w:rsid w:val="000F6918"/>
    <w:rsid w:val="00103F6D"/>
    <w:rsid w:val="00104658"/>
    <w:rsid w:val="00106077"/>
    <w:rsid w:val="001112C2"/>
    <w:rsid w:val="00112339"/>
    <w:rsid w:val="00116B4F"/>
    <w:rsid w:val="001177A9"/>
    <w:rsid w:val="00120D76"/>
    <w:rsid w:val="0012200F"/>
    <w:rsid w:val="00123CFD"/>
    <w:rsid w:val="001240CD"/>
    <w:rsid w:val="0013031A"/>
    <w:rsid w:val="00142ABD"/>
    <w:rsid w:val="0015015E"/>
    <w:rsid w:val="00151F78"/>
    <w:rsid w:val="00161E61"/>
    <w:rsid w:val="00164B20"/>
    <w:rsid w:val="00172221"/>
    <w:rsid w:val="00174593"/>
    <w:rsid w:val="001754E7"/>
    <w:rsid w:val="001770DC"/>
    <w:rsid w:val="00181B08"/>
    <w:rsid w:val="00182066"/>
    <w:rsid w:val="00183341"/>
    <w:rsid w:val="001834F7"/>
    <w:rsid w:val="001841A9"/>
    <w:rsid w:val="001912DE"/>
    <w:rsid w:val="00192E7B"/>
    <w:rsid w:val="00194803"/>
    <w:rsid w:val="0019549F"/>
    <w:rsid w:val="00195ED1"/>
    <w:rsid w:val="001A4EEF"/>
    <w:rsid w:val="001A7A39"/>
    <w:rsid w:val="001B3D19"/>
    <w:rsid w:val="001B4D49"/>
    <w:rsid w:val="001C1D37"/>
    <w:rsid w:val="001C6173"/>
    <w:rsid w:val="001C695F"/>
    <w:rsid w:val="001C7B31"/>
    <w:rsid w:val="001C7F79"/>
    <w:rsid w:val="001D0FA2"/>
    <w:rsid w:val="001D3C57"/>
    <w:rsid w:val="001E23FF"/>
    <w:rsid w:val="001E3651"/>
    <w:rsid w:val="001F293B"/>
    <w:rsid w:val="001F3D71"/>
    <w:rsid w:val="001F557D"/>
    <w:rsid w:val="00200C21"/>
    <w:rsid w:val="00200E89"/>
    <w:rsid w:val="002037FE"/>
    <w:rsid w:val="00205AB1"/>
    <w:rsid w:val="00210651"/>
    <w:rsid w:val="00215525"/>
    <w:rsid w:val="00216C9C"/>
    <w:rsid w:val="002172FD"/>
    <w:rsid w:val="002204FA"/>
    <w:rsid w:val="00220732"/>
    <w:rsid w:val="002212C5"/>
    <w:rsid w:val="00223DAE"/>
    <w:rsid w:val="002248C0"/>
    <w:rsid w:val="00224B99"/>
    <w:rsid w:val="002274F6"/>
    <w:rsid w:val="00231609"/>
    <w:rsid w:val="002326B1"/>
    <w:rsid w:val="002361A0"/>
    <w:rsid w:val="00237AB4"/>
    <w:rsid w:val="0024021F"/>
    <w:rsid w:val="00240A2A"/>
    <w:rsid w:val="00245F9F"/>
    <w:rsid w:val="002460D1"/>
    <w:rsid w:val="00246C38"/>
    <w:rsid w:val="00246E88"/>
    <w:rsid w:val="00253BFF"/>
    <w:rsid w:val="00255262"/>
    <w:rsid w:val="00255B94"/>
    <w:rsid w:val="00261663"/>
    <w:rsid w:val="00264726"/>
    <w:rsid w:val="002723A7"/>
    <w:rsid w:val="00272ED6"/>
    <w:rsid w:val="00273F7B"/>
    <w:rsid w:val="00276FDC"/>
    <w:rsid w:val="00283CB9"/>
    <w:rsid w:val="00286B52"/>
    <w:rsid w:val="00287D27"/>
    <w:rsid w:val="00291D68"/>
    <w:rsid w:val="00294F8E"/>
    <w:rsid w:val="002965F4"/>
    <w:rsid w:val="002A3C75"/>
    <w:rsid w:val="002A4A69"/>
    <w:rsid w:val="002B1BD4"/>
    <w:rsid w:val="002B55BE"/>
    <w:rsid w:val="002C3A9F"/>
    <w:rsid w:val="002C525B"/>
    <w:rsid w:val="002C5A3E"/>
    <w:rsid w:val="002C7ED2"/>
    <w:rsid w:val="002E005B"/>
    <w:rsid w:val="002E24E1"/>
    <w:rsid w:val="002F2BE7"/>
    <w:rsid w:val="002F4A7A"/>
    <w:rsid w:val="002F5625"/>
    <w:rsid w:val="002F751F"/>
    <w:rsid w:val="00302354"/>
    <w:rsid w:val="003069D4"/>
    <w:rsid w:val="003072B5"/>
    <w:rsid w:val="00307C4D"/>
    <w:rsid w:val="00307C67"/>
    <w:rsid w:val="00314836"/>
    <w:rsid w:val="003214AD"/>
    <w:rsid w:val="00325EC7"/>
    <w:rsid w:val="00326A18"/>
    <w:rsid w:val="00332F7F"/>
    <w:rsid w:val="003435D6"/>
    <w:rsid w:val="00343D58"/>
    <w:rsid w:val="0035289F"/>
    <w:rsid w:val="00352CB0"/>
    <w:rsid w:val="00354371"/>
    <w:rsid w:val="00360141"/>
    <w:rsid w:val="0036570F"/>
    <w:rsid w:val="00365A68"/>
    <w:rsid w:val="003769EE"/>
    <w:rsid w:val="00377092"/>
    <w:rsid w:val="00381797"/>
    <w:rsid w:val="00384FFD"/>
    <w:rsid w:val="00387298"/>
    <w:rsid w:val="003905C5"/>
    <w:rsid w:val="00390A72"/>
    <w:rsid w:val="003938DC"/>
    <w:rsid w:val="003974AA"/>
    <w:rsid w:val="003977DE"/>
    <w:rsid w:val="003A0025"/>
    <w:rsid w:val="003A0E97"/>
    <w:rsid w:val="003A21B5"/>
    <w:rsid w:val="003A56E9"/>
    <w:rsid w:val="003A6686"/>
    <w:rsid w:val="003B02F8"/>
    <w:rsid w:val="003B1525"/>
    <w:rsid w:val="003B2BA6"/>
    <w:rsid w:val="003B434D"/>
    <w:rsid w:val="003B5D70"/>
    <w:rsid w:val="003B6F1D"/>
    <w:rsid w:val="003C329D"/>
    <w:rsid w:val="003C578D"/>
    <w:rsid w:val="003D05C6"/>
    <w:rsid w:val="003E23F6"/>
    <w:rsid w:val="003F315E"/>
    <w:rsid w:val="004009CA"/>
    <w:rsid w:val="004042B6"/>
    <w:rsid w:val="00406F71"/>
    <w:rsid w:val="0041253D"/>
    <w:rsid w:val="00414E2F"/>
    <w:rsid w:val="00417D3E"/>
    <w:rsid w:val="004207BE"/>
    <w:rsid w:val="00421904"/>
    <w:rsid w:val="00421D29"/>
    <w:rsid w:val="00426A16"/>
    <w:rsid w:val="00427150"/>
    <w:rsid w:val="0043328F"/>
    <w:rsid w:val="0043457E"/>
    <w:rsid w:val="00440602"/>
    <w:rsid w:val="004443D5"/>
    <w:rsid w:val="00446B11"/>
    <w:rsid w:val="00446FF8"/>
    <w:rsid w:val="00447FB0"/>
    <w:rsid w:val="00447FE6"/>
    <w:rsid w:val="0045015A"/>
    <w:rsid w:val="00451198"/>
    <w:rsid w:val="00453CD0"/>
    <w:rsid w:val="00453EE5"/>
    <w:rsid w:val="004541B9"/>
    <w:rsid w:val="00457D7D"/>
    <w:rsid w:val="00460372"/>
    <w:rsid w:val="00460D56"/>
    <w:rsid w:val="0046268E"/>
    <w:rsid w:val="0046274F"/>
    <w:rsid w:val="004645AA"/>
    <w:rsid w:val="00465A94"/>
    <w:rsid w:val="00466995"/>
    <w:rsid w:val="004710C6"/>
    <w:rsid w:val="004710DD"/>
    <w:rsid w:val="004721CB"/>
    <w:rsid w:val="004753AB"/>
    <w:rsid w:val="0048219F"/>
    <w:rsid w:val="00483134"/>
    <w:rsid w:val="00485BEE"/>
    <w:rsid w:val="0049034B"/>
    <w:rsid w:val="00491FB2"/>
    <w:rsid w:val="00492B17"/>
    <w:rsid w:val="00494626"/>
    <w:rsid w:val="004954A1"/>
    <w:rsid w:val="004971AF"/>
    <w:rsid w:val="004A724C"/>
    <w:rsid w:val="004A77BF"/>
    <w:rsid w:val="004B379C"/>
    <w:rsid w:val="004B3BA8"/>
    <w:rsid w:val="004B5A6C"/>
    <w:rsid w:val="004B7874"/>
    <w:rsid w:val="004C1D50"/>
    <w:rsid w:val="004C40FE"/>
    <w:rsid w:val="004C7245"/>
    <w:rsid w:val="004D16E3"/>
    <w:rsid w:val="004D3EA3"/>
    <w:rsid w:val="004D4190"/>
    <w:rsid w:val="004D4438"/>
    <w:rsid w:val="004D44E0"/>
    <w:rsid w:val="004E0BE0"/>
    <w:rsid w:val="004E243C"/>
    <w:rsid w:val="004E2997"/>
    <w:rsid w:val="004E37D9"/>
    <w:rsid w:val="004F5838"/>
    <w:rsid w:val="004F65FA"/>
    <w:rsid w:val="00503B72"/>
    <w:rsid w:val="005053A2"/>
    <w:rsid w:val="005119E3"/>
    <w:rsid w:val="00512CB1"/>
    <w:rsid w:val="00512EB9"/>
    <w:rsid w:val="005238BC"/>
    <w:rsid w:val="0052482A"/>
    <w:rsid w:val="0053518C"/>
    <w:rsid w:val="00535B43"/>
    <w:rsid w:val="00537A7C"/>
    <w:rsid w:val="005439BE"/>
    <w:rsid w:val="00545582"/>
    <w:rsid w:val="005479A7"/>
    <w:rsid w:val="005548BE"/>
    <w:rsid w:val="0055531C"/>
    <w:rsid w:val="005571AF"/>
    <w:rsid w:val="00557308"/>
    <w:rsid w:val="0056111D"/>
    <w:rsid w:val="0056677C"/>
    <w:rsid w:val="00566B9F"/>
    <w:rsid w:val="005679FD"/>
    <w:rsid w:val="005810D5"/>
    <w:rsid w:val="00582459"/>
    <w:rsid w:val="0058264B"/>
    <w:rsid w:val="005837AD"/>
    <w:rsid w:val="00583842"/>
    <w:rsid w:val="00585046"/>
    <w:rsid w:val="00592982"/>
    <w:rsid w:val="00596DAF"/>
    <w:rsid w:val="005A151D"/>
    <w:rsid w:val="005A3BAF"/>
    <w:rsid w:val="005A4E38"/>
    <w:rsid w:val="005A63E6"/>
    <w:rsid w:val="005A7C71"/>
    <w:rsid w:val="005B0B08"/>
    <w:rsid w:val="005B1695"/>
    <w:rsid w:val="005B38F0"/>
    <w:rsid w:val="005B3D9A"/>
    <w:rsid w:val="005B44F3"/>
    <w:rsid w:val="005B6334"/>
    <w:rsid w:val="005B73F3"/>
    <w:rsid w:val="005C2319"/>
    <w:rsid w:val="005C3248"/>
    <w:rsid w:val="005C3B04"/>
    <w:rsid w:val="005C46AB"/>
    <w:rsid w:val="005C4873"/>
    <w:rsid w:val="005C4E19"/>
    <w:rsid w:val="005D1B8C"/>
    <w:rsid w:val="005D60A4"/>
    <w:rsid w:val="005E07D9"/>
    <w:rsid w:val="005E1202"/>
    <w:rsid w:val="005F06EA"/>
    <w:rsid w:val="005F11CD"/>
    <w:rsid w:val="005F272D"/>
    <w:rsid w:val="005F2AB7"/>
    <w:rsid w:val="005F3C91"/>
    <w:rsid w:val="005F7CFE"/>
    <w:rsid w:val="006049C9"/>
    <w:rsid w:val="00612660"/>
    <w:rsid w:val="00617784"/>
    <w:rsid w:val="0062464C"/>
    <w:rsid w:val="00626ABD"/>
    <w:rsid w:val="00631383"/>
    <w:rsid w:val="006330E3"/>
    <w:rsid w:val="0063472B"/>
    <w:rsid w:val="00634D5C"/>
    <w:rsid w:val="00637EA5"/>
    <w:rsid w:val="00643EA4"/>
    <w:rsid w:val="00645F50"/>
    <w:rsid w:val="00647FC6"/>
    <w:rsid w:val="0065069B"/>
    <w:rsid w:val="00652B0E"/>
    <w:rsid w:val="006531C5"/>
    <w:rsid w:val="00653AF1"/>
    <w:rsid w:val="006544CA"/>
    <w:rsid w:val="006549B7"/>
    <w:rsid w:val="00655C2D"/>
    <w:rsid w:val="00656D49"/>
    <w:rsid w:val="006607FB"/>
    <w:rsid w:val="00662446"/>
    <w:rsid w:val="006626AE"/>
    <w:rsid w:val="00667E9E"/>
    <w:rsid w:val="006761B2"/>
    <w:rsid w:val="00680779"/>
    <w:rsid w:val="006813C2"/>
    <w:rsid w:val="00681E6C"/>
    <w:rsid w:val="006836A7"/>
    <w:rsid w:val="0068613A"/>
    <w:rsid w:val="00686E45"/>
    <w:rsid w:val="00687C54"/>
    <w:rsid w:val="006A0818"/>
    <w:rsid w:val="006A24D0"/>
    <w:rsid w:val="006A2A52"/>
    <w:rsid w:val="006A4D71"/>
    <w:rsid w:val="006A5DBD"/>
    <w:rsid w:val="006A643A"/>
    <w:rsid w:val="006B2EBF"/>
    <w:rsid w:val="006B4038"/>
    <w:rsid w:val="006C019A"/>
    <w:rsid w:val="006C519D"/>
    <w:rsid w:val="006C52A5"/>
    <w:rsid w:val="006C697E"/>
    <w:rsid w:val="006C7138"/>
    <w:rsid w:val="006D6251"/>
    <w:rsid w:val="006D754A"/>
    <w:rsid w:val="006E4D3E"/>
    <w:rsid w:val="006E7481"/>
    <w:rsid w:val="006F471B"/>
    <w:rsid w:val="006F4D1B"/>
    <w:rsid w:val="006F4E0A"/>
    <w:rsid w:val="0070177F"/>
    <w:rsid w:val="00703ABE"/>
    <w:rsid w:val="007106DA"/>
    <w:rsid w:val="0071306A"/>
    <w:rsid w:val="007240EF"/>
    <w:rsid w:val="007241D9"/>
    <w:rsid w:val="007254F5"/>
    <w:rsid w:val="00726BD0"/>
    <w:rsid w:val="00730A80"/>
    <w:rsid w:val="007358BD"/>
    <w:rsid w:val="00735B50"/>
    <w:rsid w:val="00735E26"/>
    <w:rsid w:val="00742FBC"/>
    <w:rsid w:val="007448DD"/>
    <w:rsid w:val="0074501F"/>
    <w:rsid w:val="00746877"/>
    <w:rsid w:val="0075031B"/>
    <w:rsid w:val="00750AAA"/>
    <w:rsid w:val="0075142D"/>
    <w:rsid w:val="007529C5"/>
    <w:rsid w:val="00752A26"/>
    <w:rsid w:val="00753AD9"/>
    <w:rsid w:val="00757815"/>
    <w:rsid w:val="00771330"/>
    <w:rsid w:val="00773286"/>
    <w:rsid w:val="00773988"/>
    <w:rsid w:val="00782C0C"/>
    <w:rsid w:val="00795075"/>
    <w:rsid w:val="00795A02"/>
    <w:rsid w:val="00796DD2"/>
    <w:rsid w:val="007A20E5"/>
    <w:rsid w:val="007A5B46"/>
    <w:rsid w:val="007A6EE3"/>
    <w:rsid w:val="007A72C3"/>
    <w:rsid w:val="007A78D8"/>
    <w:rsid w:val="007B6944"/>
    <w:rsid w:val="007C6FBA"/>
    <w:rsid w:val="007C72F7"/>
    <w:rsid w:val="007D0878"/>
    <w:rsid w:val="007E098E"/>
    <w:rsid w:val="007E25A9"/>
    <w:rsid w:val="007E34A1"/>
    <w:rsid w:val="007E3D18"/>
    <w:rsid w:val="007E5222"/>
    <w:rsid w:val="007E6006"/>
    <w:rsid w:val="007F1CE9"/>
    <w:rsid w:val="007F75F4"/>
    <w:rsid w:val="00803B87"/>
    <w:rsid w:val="00805C21"/>
    <w:rsid w:val="00813BCB"/>
    <w:rsid w:val="00814331"/>
    <w:rsid w:val="008167B3"/>
    <w:rsid w:val="00816CF6"/>
    <w:rsid w:val="008221BD"/>
    <w:rsid w:val="008273C7"/>
    <w:rsid w:val="008277F1"/>
    <w:rsid w:val="008357AD"/>
    <w:rsid w:val="008409A1"/>
    <w:rsid w:val="00842432"/>
    <w:rsid w:val="00846151"/>
    <w:rsid w:val="008475EE"/>
    <w:rsid w:val="00850A2F"/>
    <w:rsid w:val="00852641"/>
    <w:rsid w:val="008530E2"/>
    <w:rsid w:val="00857192"/>
    <w:rsid w:val="008578B3"/>
    <w:rsid w:val="00857AD9"/>
    <w:rsid w:val="00860F92"/>
    <w:rsid w:val="00862CAB"/>
    <w:rsid w:val="00865AF0"/>
    <w:rsid w:val="00871DF3"/>
    <w:rsid w:val="008815CD"/>
    <w:rsid w:val="0088315C"/>
    <w:rsid w:val="008845FC"/>
    <w:rsid w:val="00890D95"/>
    <w:rsid w:val="0089108C"/>
    <w:rsid w:val="0089725A"/>
    <w:rsid w:val="00897A5C"/>
    <w:rsid w:val="008A13AF"/>
    <w:rsid w:val="008A1ECD"/>
    <w:rsid w:val="008A6C4C"/>
    <w:rsid w:val="008A7003"/>
    <w:rsid w:val="008A74B2"/>
    <w:rsid w:val="008B013D"/>
    <w:rsid w:val="008B0141"/>
    <w:rsid w:val="008B1816"/>
    <w:rsid w:val="008B2057"/>
    <w:rsid w:val="008B2592"/>
    <w:rsid w:val="008B482E"/>
    <w:rsid w:val="008B530F"/>
    <w:rsid w:val="008B6CA7"/>
    <w:rsid w:val="008B7F59"/>
    <w:rsid w:val="008C0ADC"/>
    <w:rsid w:val="008C12F5"/>
    <w:rsid w:val="008C1F1C"/>
    <w:rsid w:val="008C268A"/>
    <w:rsid w:val="008C2F83"/>
    <w:rsid w:val="008C589A"/>
    <w:rsid w:val="008C751A"/>
    <w:rsid w:val="008C7691"/>
    <w:rsid w:val="008D418B"/>
    <w:rsid w:val="008D5228"/>
    <w:rsid w:val="008D6D9E"/>
    <w:rsid w:val="008E20B2"/>
    <w:rsid w:val="008E20D4"/>
    <w:rsid w:val="008E23A4"/>
    <w:rsid w:val="008E3525"/>
    <w:rsid w:val="008E7BFC"/>
    <w:rsid w:val="008E7FBF"/>
    <w:rsid w:val="008F0407"/>
    <w:rsid w:val="008F0A64"/>
    <w:rsid w:val="008F0E16"/>
    <w:rsid w:val="008F17FA"/>
    <w:rsid w:val="008F7A60"/>
    <w:rsid w:val="009011A6"/>
    <w:rsid w:val="00903D55"/>
    <w:rsid w:val="009169E4"/>
    <w:rsid w:val="00921226"/>
    <w:rsid w:val="0092296D"/>
    <w:rsid w:val="009231C7"/>
    <w:rsid w:val="00927D53"/>
    <w:rsid w:val="00932310"/>
    <w:rsid w:val="00933458"/>
    <w:rsid w:val="00934B99"/>
    <w:rsid w:val="00935062"/>
    <w:rsid w:val="00937179"/>
    <w:rsid w:val="00941C17"/>
    <w:rsid w:val="009437BB"/>
    <w:rsid w:val="00943FD7"/>
    <w:rsid w:val="0094489D"/>
    <w:rsid w:val="00944C92"/>
    <w:rsid w:val="009470C0"/>
    <w:rsid w:val="00947290"/>
    <w:rsid w:val="00950C1F"/>
    <w:rsid w:val="00951C30"/>
    <w:rsid w:val="00953220"/>
    <w:rsid w:val="009546AA"/>
    <w:rsid w:val="00956A8F"/>
    <w:rsid w:val="009609DC"/>
    <w:rsid w:val="00961241"/>
    <w:rsid w:val="00973BA5"/>
    <w:rsid w:val="009742BF"/>
    <w:rsid w:val="00974594"/>
    <w:rsid w:val="00977697"/>
    <w:rsid w:val="00980549"/>
    <w:rsid w:val="00980B6B"/>
    <w:rsid w:val="0098272C"/>
    <w:rsid w:val="00984586"/>
    <w:rsid w:val="00984A09"/>
    <w:rsid w:val="009868AF"/>
    <w:rsid w:val="00987B17"/>
    <w:rsid w:val="0099265A"/>
    <w:rsid w:val="00992B5F"/>
    <w:rsid w:val="009964AD"/>
    <w:rsid w:val="009A1600"/>
    <w:rsid w:val="009A76FB"/>
    <w:rsid w:val="009B0C70"/>
    <w:rsid w:val="009C2116"/>
    <w:rsid w:val="009C214D"/>
    <w:rsid w:val="009D040C"/>
    <w:rsid w:val="009D3BAC"/>
    <w:rsid w:val="009D4E16"/>
    <w:rsid w:val="009D613F"/>
    <w:rsid w:val="009D7638"/>
    <w:rsid w:val="009E02A7"/>
    <w:rsid w:val="009E14D7"/>
    <w:rsid w:val="009E22C6"/>
    <w:rsid w:val="009F0592"/>
    <w:rsid w:val="009F1F62"/>
    <w:rsid w:val="009F632A"/>
    <w:rsid w:val="00A00F8A"/>
    <w:rsid w:val="00A016FC"/>
    <w:rsid w:val="00A02416"/>
    <w:rsid w:val="00A0327A"/>
    <w:rsid w:val="00A04DE9"/>
    <w:rsid w:val="00A07801"/>
    <w:rsid w:val="00A11B96"/>
    <w:rsid w:val="00A144D7"/>
    <w:rsid w:val="00A1554F"/>
    <w:rsid w:val="00A175EB"/>
    <w:rsid w:val="00A17D2A"/>
    <w:rsid w:val="00A21487"/>
    <w:rsid w:val="00A21F7D"/>
    <w:rsid w:val="00A22046"/>
    <w:rsid w:val="00A2565B"/>
    <w:rsid w:val="00A26464"/>
    <w:rsid w:val="00A35AA9"/>
    <w:rsid w:val="00A37D72"/>
    <w:rsid w:val="00A37F78"/>
    <w:rsid w:val="00A42827"/>
    <w:rsid w:val="00A4472E"/>
    <w:rsid w:val="00A455AE"/>
    <w:rsid w:val="00A51C40"/>
    <w:rsid w:val="00A53764"/>
    <w:rsid w:val="00A55F97"/>
    <w:rsid w:val="00A562C1"/>
    <w:rsid w:val="00A60FB8"/>
    <w:rsid w:val="00A620CF"/>
    <w:rsid w:val="00A625F3"/>
    <w:rsid w:val="00A6461C"/>
    <w:rsid w:val="00A65A46"/>
    <w:rsid w:val="00A7054C"/>
    <w:rsid w:val="00A73002"/>
    <w:rsid w:val="00A73DD6"/>
    <w:rsid w:val="00A80DC6"/>
    <w:rsid w:val="00A918F8"/>
    <w:rsid w:val="00A9286D"/>
    <w:rsid w:val="00A92AAE"/>
    <w:rsid w:val="00A96054"/>
    <w:rsid w:val="00A961C0"/>
    <w:rsid w:val="00A96E66"/>
    <w:rsid w:val="00A97552"/>
    <w:rsid w:val="00AA078A"/>
    <w:rsid w:val="00AA20BA"/>
    <w:rsid w:val="00AA2786"/>
    <w:rsid w:val="00AA2AE7"/>
    <w:rsid w:val="00AA3B0D"/>
    <w:rsid w:val="00AA4B23"/>
    <w:rsid w:val="00AA63D2"/>
    <w:rsid w:val="00AA690F"/>
    <w:rsid w:val="00AA7B83"/>
    <w:rsid w:val="00AB3EAE"/>
    <w:rsid w:val="00AB43BC"/>
    <w:rsid w:val="00AB6300"/>
    <w:rsid w:val="00AB726C"/>
    <w:rsid w:val="00AC0905"/>
    <w:rsid w:val="00AC2DC7"/>
    <w:rsid w:val="00AD389B"/>
    <w:rsid w:val="00AD60EB"/>
    <w:rsid w:val="00AE2B92"/>
    <w:rsid w:val="00AE2E58"/>
    <w:rsid w:val="00AE413A"/>
    <w:rsid w:val="00AE44FE"/>
    <w:rsid w:val="00AE747E"/>
    <w:rsid w:val="00AF090F"/>
    <w:rsid w:val="00AF152A"/>
    <w:rsid w:val="00AF3DC7"/>
    <w:rsid w:val="00B0079A"/>
    <w:rsid w:val="00B07CE1"/>
    <w:rsid w:val="00B10FD3"/>
    <w:rsid w:val="00B128E7"/>
    <w:rsid w:val="00B16DEA"/>
    <w:rsid w:val="00B16F0B"/>
    <w:rsid w:val="00B203C2"/>
    <w:rsid w:val="00B20D48"/>
    <w:rsid w:val="00B251E7"/>
    <w:rsid w:val="00B32AE9"/>
    <w:rsid w:val="00B414C7"/>
    <w:rsid w:val="00B42650"/>
    <w:rsid w:val="00B46CBD"/>
    <w:rsid w:val="00B52500"/>
    <w:rsid w:val="00B52BB3"/>
    <w:rsid w:val="00B54C95"/>
    <w:rsid w:val="00B5668A"/>
    <w:rsid w:val="00B61014"/>
    <w:rsid w:val="00B6138F"/>
    <w:rsid w:val="00B61F72"/>
    <w:rsid w:val="00B62EBD"/>
    <w:rsid w:val="00B6591F"/>
    <w:rsid w:val="00B70CE1"/>
    <w:rsid w:val="00B71DCB"/>
    <w:rsid w:val="00B76415"/>
    <w:rsid w:val="00B815BF"/>
    <w:rsid w:val="00B8324B"/>
    <w:rsid w:val="00B91F45"/>
    <w:rsid w:val="00B946E9"/>
    <w:rsid w:val="00B977F1"/>
    <w:rsid w:val="00BA25FD"/>
    <w:rsid w:val="00BA5DCA"/>
    <w:rsid w:val="00BB0F03"/>
    <w:rsid w:val="00BB4084"/>
    <w:rsid w:val="00BC2C23"/>
    <w:rsid w:val="00BC2F7A"/>
    <w:rsid w:val="00BC3D4A"/>
    <w:rsid w:val="00BC794C"/>
    <w:rsid w:val="00BD119D"/>
    <w:rsid w:val="00BD2BEE"/>
    <w:rsid w:val="00BE2C1F"/>
    <w:rsid w:val="00BE5182"/>
    <w:rsid w:val="00BE5E98"/>
    <w:rsid w:val="00BF1B61"/>
    <w:rsid w:val="00BF2EDF"/>
    <w:rsid w:val="00BF394A"/>
    <w:rsid w:val="00BF5A1A"/>
    <w:rsid w:val="00BF7404"/>
    <w:rsid w:val="00BF7B2A"/>
    <w:rsid w:val="00C07233"/>
    <w:rsid w:val="00C12312"/>
    <w:rsid w:val="00C15099"/>
    <w:rsid w:val="00C159FD"/>
    <w:rsid w:val="00C1754B"/>
    <w:rsid w:val="00C17CD9"/>
    <w:rsid w:val="00C2077F"/>
    <w:rsid w:val="00C21312"/>
    <w:rsid w:val="00C3568C"/>
    <w:rsid w:val="00C3679E"/>
    <w:rsid w:val="00C36A4D"/>
    <w:rsid w:val="00C374F5"/>
    <w:rsid w:val="00C4088E"/>
    <w:rsid w:val="00C45C44"/>
    <w:rsid w:val="00C4621A"/>
    <w:rsid w:val="00C47014"/>
    <w:rsid w:val="00C47D05"/>
    <w:rsid w:val="00C47F2D"/>
    <w:rsid w:val="00C51556"/>
    <w:rsid w:val="00C5310B"/>
    <w:rsid w:val="00C54AC6"/>
    <w:rsid w:val="00C54FEF"/>
    <w:rsid w:val="00C61E23"/>
    <w:rsid w:val="00C63C22"/>
    <w:rsid w:val="00C63F44"/>
    <w:rsid w:val="00C65785"/>
    <w:rsid w:val="00C7386A"/>
    <w:rsid w:val="00C73C4B"/>
    <w:rsid w:val="00C7645E"/>
    <w:rsid w:val="00C76D21"/>
    <w:rsid w:val="00C80B3C"/>
    <w:rsid w:val="00C85253"/>
    <w:rsid w:val="00C87782"/>
    <w:rsid w:val="00C95A4B"/>
    <w:rsid w:val="00C9783F"/>
    <w:rsid w:val="00CA1ADF"/>
    <w:rsid w:val="00CA4F59"/>
    <w:rsid w:val="00CB2AAF"/>
    <w:rsid w:val="00CB4C19"/>
    <w:rsid w:val="00CB5278"/>
    <w:rsid w:val="00CB5B07"/>
    <w:rsid w:val="00CC0AD7"/>
    <w:rsid w:val="00CC238E"/>
    <w:rsid w:val="00CC57FB"/>
    <w:rsid w:val="00CC764C"/>
    <w:rsid w:val="00CC7767"/>
    <w:rsid w:val="00CD0F11"/>
    <w:rsid w:val="00CD1B8F"/>
    <w:rsid w:val="00CD4E95"/>
    <w:rsid w:val="00CD593A"/>
    <w:rsid w:val="00CD6AB4"/>
    <w:rsid w:val="00CE107B"/>
    <w:rsid w:val="00CE1F4D"/>
    <w:rsid w:val="00CE4177"/>
    <w:rsid w:val="00CE6949"/>
    <w:rsid w:val="00CF5E46"/>
    <w:rsid w:val="00D007FA"/>
    <w:rsid w:val="00D0145E"/>
    <w:rsid w:val="00D03794"/>
    <w:rsid w:val="00D11EFE"/>
    <w:rsid w:val="00D14C50"/>
    <w:rsid w:val="00D15A76"/>
    <w:rsid w:val="00D2440D"/>
    <w:rsid w:val="00D3159F"/>
    <w:rsid w:val="00D31BCA"/>
    <w:rsid w:val="00D31CE6"/>
    <w:rsid w:val="00D4057C"/>
    <w:rsid w:val="00D40D34"/>
    <w:rsid w:val="00D40FFF"/>
    <w:rsid w:val="00D4233F"/>
    <w:rsid w:val="00D43F32"/>
    <w:rsid w:val="00D44669"/>
    <w:rsid w:val="00D52628"/>
    <w:rsid w:val="00D5462F"/>
    <w:rsid w:val="00D55C08"/>
    <w:rsid w:val="00D562E3"/>
    <w:rsid w:val="00D62B8C"/>
    <w:rsid w:val="00D64709"/>
    <w:rsid w:val="00D71E0F"/>
    <w:rsid w:val="00D77FAB"/>
    <w:rsid w:val="00D80E0D"/>
    <w:rsid w:val="00D81F48"/>
    <w:rsid w:val="00D858FA"/>
    <w:rsid w:val="00D86691"/>
    <w:rsid w:val="00D87995"/>
    <w:rsid w:val="00D902AC"/>
    <w:rsid w:val="00D905E0"/>
    <w:rsid w:val="00D9094B"/>
    <w:rsid w:val="00D90BB8"/>
    <w:rsid w:val="00D954ED"/>
    <w:rsid w:val="00D97E92"/>
    <w:rsid w:val="00DA2AA8"/>
    <w:rsid w:val="00DA3AB4"/>
    <w:rsid w:val="00DA51E1"/>
    <w:rsid w:val="00DA5BE5"/>
    <w:rsid w:val="00DA7DC7"/>
    <w:rsid w:val="00DB00BC"/>
    <w:rsid w:val="00DB13DC"/>
    <w:rsid w:val="00DB156C"/>
    <w:rsid w:val="00DB21E8"/>
    <w:rsid w:val="00DB28BA"/>
    <w:rsid w:val="00DB619C"/>
    <w:rsid w:val="00DB7DE8"/>
    <w:rsid w:val="00DC322A"/>
    <w:rsid w:val="00DC53E3"/>
    <w:rsid w:val="00DC57FE"/>
    <w:rsid w:val="00DC70A7"/>
    <w:rsid w:val="00DD5144"/>
    <w:rsid w:val="00DE1029"/>
    <w:rsid w:val="00DE1535"/>
    <w:rsid w:val="00DE162A"/>
    <w:rsid w:val="00DE419A"/>
    <w:rsid w:val="00DF3136"/>
    <w:rsid w:val="00DF64FC"/>
    <w:rsid w:val="00DF739B"/>
    <w:rsid w:val="00E0112B"/>
    <w:rsid w:val="00E02C8F"/>
    <w:rsid w:val="00E0454B"/>
    <w:rsid w:val="00E04BFC"/>
    <w:rsid w:val="00E04F7F"/>
    <w:rsid w:val="00E05383"/>
    <w:rsid w:val="00E07F80"/>
    <w:rsid w:val="00E10B7B"/>
    <w:rsid w:val="00E120D1"/>
    <w:rsid w:val="00E1596A"/>
    <w:rsid w:val="00E15B01"/>
    <w:rsid w:val="00E20481"/>
    <w:rsid w:val="00E20FB4"/>
    <w:rsid w:val="00E24397"/>
    <w:rsid w:val="00E25DC8"/>
    <w:rsid w:val="00E27019"/>
    <w:rsid w:val="00E2773B"/>
    <w:rsid w:val="00E35668"/>
    <w:rsid w:val="00E37859"/>
    <w:rsid w:val="00E41560"/>
    <w:rsid w:val="00E43797"/>
    <w:rsid w:val="00E50CCD"/>
    <w:rsid w:val="00E5132F"/>
    <w:rsid w:val="00E5158B"/>
    <w:rsid w:val="00E5169F"/>
    <w:rsid w:val="00E51D9F"/>
    <w:rsid w:val="00E53E37"/>
    <w:rsid w:val="00E5406E"/>
    <w:rsid w:val="00E56B2E"/>
    <w:rsid w:val="00E56DF1"/>
    <w:rsid w:val="00E61273"/>
    <w:rsid w:val="00E619E3"/>
    <w:rsid w:val="00E65170"/>
    <w:rsid w:val="00E65813"/>
    <w:rsid w:val="00E66419"/>
    <w:rsid w:val="00E66660"/>
    <w:rsid w:val="00E726D7"/>
    <w:rsid w:val="00E77172"/>
    <w:rsid w:val="00E8368D"/>
    <w:rsid w:val="00E86390"/>
    <w:rsid w:val="00E8717A"/>
    <w:rsid w:val="00E91346"/>
    <w:rsid w:val="00E924DF"/>
    <w:rsid w:val="00E96733"/>
    <w:rsid w:val="00EA3FE5"/>
    <w:rsid w:val="00EB007F"/>
    <w:rsid w:val="00EB06A5"/>
    <w:rsid w:val="00EB094C"/>
    <w:rsid w:val="00EB34F8"/>
    <w:rsid w:val="00EB5A25"/>
    <w:rsid w:val="00EB7F0D"/>
    <w:rsid w:val="00EC3E04"/>
    <w:rsid w:val="00EC56E2"/>
    <w:rsid w:val="00ED2A1F"/>
    <w:rsid w:val="00ED3DC9"/>
    <w:rsid w:val="00ED4C16"/>
    <w:rsid w:val="00ED770C"/>
    <w:rsid w:val="00EE4651"/>
    <w:rsid w:val="00EF16F0"/>
    <w:rsid w:val="00EF2822"/>
    <w:rsid w:val="00EF6649"/>
    <w:rsid w:val="00F01BDF"/>
    <w:rsid w:val="00F02EF4"/>
    <w:rsid w:val="00F062B0"/>
    <w:rsid w:val="00F11994"/>
    <w:rsid w:val="00F11FC2"/>
    <w:rsid w:val="00F138DF"/>
    <w:rsid w:val="00F2269C"/>
    <w:rsid w:val="00F31B67"/>
    <w:rsid w:val="00F3232E"/>
    <w:rsid w:val="00F335C6"/>
    <w:rsid w:val="00F50301"/>
    <w:rsid w:val="00F541EB"/>
    <w:rsid w:val="00F6350C"/>
    <w:rsid w:val="00F64586"/>
    <w:rsid w:val="00F71519"/>
    <w:rsid w:val="00F7170A"/>
    <w:rsid w:val="00F717F7"/>
    <w:rsid w:val="00F73B8C"/>
    <w:rsid w:val="00F75A83"/>
    <w:rsid w:val="00F7610C"/>
    <w:rsid w:val="00F762B8"/>
    <w:rsid w:val="00F81832"/>
    <w:rsid w:val="00F83BCB"/>
    <w:rsid w:val="00F86A74"/>
    <w:rsid w:val="00F907FD"/>
    <w:rsid w:val="00F91F6F"/>
    <w:rsid w:val="00F92DB0"/>
    <w:rsid w:val="00F97500"/>
    <w:rsid w:val="00F97823"/>
    <w:rsid w:val="00F9783D"/>
    <w:rsid w:val="00FA0738"/>
    <w:rsid w:val="00FA16E2"/>
    <w:rsid w:val="00FB1384"/>
    <w:rsid w:val="00FB52A6"/>
    <w:rsid w:val="00FC2A3E"/>
    <w:rsid w:val="00FC4BF4"/>
    <w:rsid w:val="00FC5642"/>
    <w:rsid w:val="00FC5E3B"/>
    <w:rsid w:val="00FC5FAC"/>
    <w:rsid w:val="00FD002E"/>
    <w:rsid w:val="00FD2479"/>
    <w:rsid w:val="00FD799E"/>
    <w:rsid w:val="00FE2A4E"/>
    <w:rsid w:val="00FE5399"/>
    <w:rsid w:val="00FE7751"/>
    <w:rsid w:val="00FE79E9"/>
    <w:rsid w:val="00FE7E4D"/>
    <w:rsid w:val="00FF34C5"/>
    <w:rsid w:val="00FF50E2"/>
    <w:rsid w:val="00FF794E"/>
    <w:rsid w:val="0C8ED5B4"/>
    <w:rsid w:val="31A09FD3"/>
    <w:rsid w:val="360A906D"/>
    <w:rsid w:val="38570362"/>
    <w:rsid w:val="423645C7"/>
    <w:rsid w:val="49B2266F"/>
    <w:rsid w:val="4E42950A"/>
    <w:rsid w:val="4EC91D0A"/>
    <w:rsid w:val="57DE2BB6"/>
    <w:rsid w:val="68D733A5"/>
    <w:rsid w:val="6EDFF8AD"/>
    <w:rsid w:val="6EE3ECE9"/>
    <w:rsid w:val="71C0469F"/>
    <w:rsid w:val="7E8603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E3027"/>
  <w15:chartTrackingRefBased/>
  <w15:docId w15:val="{F7774F18-53B1-4087-B956-4EDD140C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E79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79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79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79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79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79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79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79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79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9E9"/>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FE79E9"/>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FE79E9"/>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FE79E9"/>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FE79E9"/>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FE79E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FE79E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FE79E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FE79E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FE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9E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FE79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9E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FE79E9"/>
    <w:pPr>
      <w:spacing w:before="160"/>
      <w:jc w:val="center"/>
    </w:pPr>
    <w:rPr>
      <w:i/>
      <w:iCs/>
      <w:color w:val="404040" w:themeColor="text1" w:themeTint="BF"/>
    </w:rPr>
  </w:style>
  <w:style w:type="character" w:customStyle="1" w:styleId="QuoteChar">
    <w:name w:val="Quote Char"/>
    <w:basedOn w:val="DefaultParagraphFont"/>
    <w:link w:val="Quote"/>
    <w:uiPriority w:val="29"/>
    <w:rsid w:val="00FE79E9"/>
    <w:rPr>
      <w:i/>
      <w:iCs/>
      <w:color w:val="404040" w:themeColor="text1" w:themeTint="BF"/>
      <w:lang w:val="en-GB"/>
    </w:rPr>
  </w:style>
  <w:style w:type="paragraph" w:styleId="ListParagraph">
    <w:name w:val="List Paragraph"/>
    <w:aliases w:val="Citation List,본문(내용),List Paragraph (numbered (a)),Forth level,CA bullets,Body,Bullet,Normal 1,List Paragraph1,Bullets,Akapit z listą BS,Table/Figure Heading,Dot pt,F5 List Paragraph,No Spacing1,List Paragraph Char Char Char"/>
    <w:basedOn w:val="Normal"/>
    <w:link w:val="ListParagraphChar"/>
    <w:uiPriority w:val="34"/>
    <w:qFormat/>
    <w:rsid w:val="00FE79E9"/>
    <w:pPr>
      <w:ind w:left="720"/>
      <w:contextualSpacing/>
    </w:pPr>
  </w:style>
  <w:style w:type="character" w:styleId="IntenseEmphasis">
    <w:name w:val="Intense Emphasis"/>
    <w:basedOn w:val="DefaultParagraphFont"/>
    <w:uiPriority w:val="21"/>
    <w:qFormat/>
    <w:rsid w:val="00FE79E9"/>
    <w:rPr>
      <w:i/>
      <w:iCs/>
      <w:color w:val="2F5496" w:themeColor="accent1" w:themeShade="BF"/>
    </w:rPr>
  </w:style>
  <w:style w:type="paragraph" w:styleId="IntenseQuote">
    <w:name w:val="Intense Quote"/>
    <w:basedOn w:val="Normal"/>
    <w:next w:val="Normal"/>
    <w:link w:val="IntenseQuoteChar"/>
    <w:uiPriority w:val="30"/>
    <w:qFormat/>
    <w:rsid w:val="00FE79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79E9"/>
    <w:rPr>
      <w:i/>
      <w:iCs/>
      <w:color w:val="2F5496" w:themeColor="accent1" w:themeShade="BF"/>
      <w:lang w:val="en-GB"/>
    </w:rPr>
  </w:style>
  <w:style w:type="character" w:styleId="IntenseReference">
    <w:name w:val="Intense Reference"/>
    <w:basedOn w:val="DefaultParagraphFont"/>
    <w:uiPriority w:val="32"/>
    <w:qFormat/>
    <w:rsid w:val="00FE79E9"/>
    <w:rPr>
      <w:b/>
      <w:bCs/>
      <w:smallCaps/>
      <w:color w:val="2F5496" w:themeColor="accent1" w:themeShade="BF"/>
      <w:spacing w:val="5"/>
    </w:rPr>
  </w:style>
  <w:style w:type="character" w:styleId="Hyperlink">
    <w:name w:val="Hyperlink"/>
    <w:basedOn w:val="DefaultParagraphFont"/>
    <w:uiPriority w:val="99"/>
    <w:unhideWhenUsed/>
    <w:rsid w:val="00FE79E9"/>
    <w:rPr>
      <w:color w:val="467886"/>
      <w:u w:val="single"/>
    </w:rPr>
  </w:style>
  <w:style w:type="character" w:styleId="CommentReference">
    <w:name w:val="annotation reference"/>
    <w:basedOn w:val="DefaultParagraphFont"/>
    <w:uiPriority w:val="99"/>
    <w:semiHidden/>
    <w:unhideWhenUsed/>
    <w:rsid w:val="00E05383"/>
    <w:rPr>
      <w:sz w:val="16"/>
      <w:szCs w:val="16"/>
    </w:rPr>
  </w:style>
  <w:style w:type="paragraph" w:styleId="CommentText">
    <w:name w:val="annotation text"/>
    <w:basedOn w:val="Normal"/>
    <w:link w:val="CommentTextChar"/>
    <w:uiPriority w:val="99"/>
    <w:unhideWhenUsed/>
    <w:rsid w:val="00E05383"/>
    <w:pPr>
      <w:spacing w:line="240" w:lineRule="auto"/>
    </w:pPr>
    <w:rPr>
      <w:sz w:val="20"/>
      <w:szCs w:val="20"/>
    </w:rPr>
  </w:style>
  <w:style w:type="character" w:customStyle="1" w:styleId="CommentTextChar">
    <w:name w:val="Comment Text Char"/>
    <w:basedOn w:val="DefaultParagraphFont"/>
    <w:link w:val="CommentText"/>
    <w:uiPriority w:val="99"/>
    <w:rsid w:val="00E05383"/>
    <w:rPr>
      <w:sz w:val="20"/>
      <w:szCs w:val="20"/>
      <w:lang w:val="en-GB"/>
    </w:rPr>
  </w:style>
  <w:style w:type="paragraph" w:styleId="CommentSubject">
    <w:name w:val="annotation subject"/>
    <w:basedOn w:val="CommentText"/>
    <w:next w:val="CommentText"/>
    <w:link w:val="CommentSubjectChar"/>
    <w:uiPriority w:val="99"/>
    <w:semiHidden/>
    <w:unhideWhenUsed/>
    <w:rsid w:val="00E05383"/>
    <w:rPr>
      <w:b/>
      <w:bCs/>
    </w:rPr>
  </w:style>
  <w:style w:type="character" w:customStyle="1" w:styleId="CommentSubjectChar">
    <w:name w:val="Comment Subject Char"/>
    <w:basedOn w:val="CommentTextChar"/>
    <w:link w:val="CommentSubject"/>
    <w:uiPriority w:val="99"/>
    <w:semiHidden/>
    <w:rsid w:val="00E05383"/>
    <w:rPr>
      <w:b/>
      <w:bCs/>
      <w:sz w:val="20"/>
      <w:szCs w:val="20"/>
      <w:lang w:val="en-GB"/>
    </w:rPr>
  </w:style>
  <w:style w:type="paragraph" w:styleId="FootnoteText">
    <w:name w:val="footnote text"/>
    <w:basedOn w:val="Normal"/>
    <w:link w:val="FootnoteTextChar"/>
    <w:semiHidden/>
    <w:unhideWhenUsed/>
    <w:rsid w:val="00215525"/>
    <w:pPr>
      <w:spacing w:after="0" w:line="240" w:lineRule="auto"/>
    </w:pPr>
    <w:rPr>
      <w:rFonts w:eastAsiaTheme="minorEastAsia"/>
      <w:kern w:val="0"/>
      <w:sz w:val="20"/>
      <w:szCs w:val="20"/>
      <w:lang w:val="en-SG" w:eastAsia="en-SG"/>
      <w14:ligatures w14:val="none"/>
    </w:rPr>
  </w:style>
  <w:style w:type="character" w:customStyle="1" w:styleId="FootnoteTextChar">
    <w:name w:val="Footnote Text Char"/>
    <w:basedOn w:val="DefaultParagraphFont"/>
    <w:link w:val="FootnoteText"/>
    <w:semiHidden/>
    <w:rsid w:val="00215525"/>
    <w:rPr>
      <w:rFonts w:eastAsiaTheme="minorEastAsia"/>
      <w:kern w:val="0"/>
      <w:sz w:val="20"/>
      <w:szCs w:val="20"/>
      <w:lang w:val="en-SG" w:eastAsia="en-SG"/>
      <w14:ligatures w14:val="none"/>
    </w:rPr>
  </w:style>
  <w:style w:type="character" w:styleId="FootnoteReference">
    <w:name w:val="footnote reference"/>
    <w:basedOn w:val="DefaultParagraphFont"/>
    <w:semiHidden/>
    <w:unhideWhenUsed/>
    <w:rsid w:val="00215525"/>
    <w:rPr>
      <w:vertAlign w:val="superscript"/>
    </w:rPr>
  </w:style>
  <w:style w:type="character" w:styleId="UnresolvedMention">
    <w:name w:val="Unresolved Mention"/>
    <w:basedOn w:val="DefaultParagraphFont"/>
    <w:uiPriority w:val="99"/>
    <w:semiHidden/>
    <w:unhideWhenUsed/>
    <w:rsid w:val="00215525"/>
    <w:rPr>
      <w:color w:val="605E5C"/>
      <w:shd w:val="clear" w:color="auto" w:fill="E1DFDD"/>
    </w:rPr>
  </w:style>
  <w:style w:type="paragraph" w:styleId="Header">
    <w:name w:val="header"/>
    <w:basedOn w:val="Normal"/>
    <w:link w:val="HeaderChar"/>
    <w:uiPriority w:val="99"/>
    <w:unhideWhenUsed/>
    <w:rsid w:val="000A7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EF7"/>
    <w:rPr>
      <w:lang w:val="en-GB"/>
    </w:rPr>
  </w:style>
  <w:style w:type="paragraph" w:styleId="Footer">
    <w:name w:val="footer"/>
    <w:basedOn w:val="Normal"/>
    <w:link w:val="FooterChar"/>
    <w:uiPriority w:val="99"/>
    <w:unhideWhenUsed/>
    <w:rsid w:val="000A7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EF7"/>
    <w:rPr>
      <w:lang w:val="en-GB"/>
    </w:rPr>
  </w:style>
  <w:style w:type="paragraph" w:styleId="Revision">
    <w:name w:val="Revision"/>
    <w:hidden/>
    <w:uiPriority w:val="99"/>
    <w:semiHidden/>
    <w:rsid w:val="00C61E23"/>
    <w:pPr>
      <w:spacing w:after="0" w:line="240" w:lineRule="auto"/>
    </w:pPr>
    <w:rPr>
      <w:lang w:val="en-GB"/>
    </w:rPr>
  </w:style>
  <w:style w:type="character" w:styleId="Mention">
    <w:name w:val="Mention"/>
    <w:basedOn w:val="DefaultParagraphFont"/>
    <w:uiPriority w:val="99"/>
    <w:unhideWhenUsed/>
    <w:rsid w:val="007C72F7"/>
    <w:rPr>
      <w:color w:val="2B579A"/>
      <w:shd w:val="clear" w:color="auto" w:fill="E1DFDD"/>
    </w:rPr>
  </w:style>
  <w:style w:type="character" w:customStyle="1" w:styleId="ListParagraphChar">
    <w:name w:val="List Paragraph Char"/>
    <w:aliases w:val="Citation List Char,본문(내용) Char,List Paragraph (numbered (a)) Char,Forth level Char,CA bullets Char,Body Char,Bullet Char,Normal 1 Char,List Paragraph1 Char,Bullets Char,Akapit z listą BS Char,Table/Figure Heading Char,Dot pt Char"/>
    <w:basedOn w:val="DefaultParagraphFont"/>
    <w:link w:val="ListParagraph"/>
    <w:locked/>
    <w:rsid w:val="00935062"/>
    <w:rPr>
      <w:lang w:val="en-GB"/>
    </w:rPr>
  </w:style>
  <w:style w:type="character" w:customStyle="1" w:styleId="Text1Char">
    <w:name w:val="Text 1 Char"/>
    <w:link w:val="Text1"/>
    <w:qFormat/>
    <w:locked/>
    <w:rsid w:val="00935062"/>
    <w:rPr>
      <w:rFonts w:ascii="Times New Roman" w:eastAsia="Times New Roman" w:hAnsi="Times New Roman" w:cs="Times New Roman"/>
      <w:b/>
      <w:sz w:val="24"/>
      <w:szCs w:val="20"/>
    </w:rPr>
  </w:style>
  <w:style w:type="paragraph" w:customStyle="1" w:styleId="Text1">
    <w:name w:val="Text 1"/>
    <w:basedOn w:val="Normal"/>
    <w:link w:val="Text1Char"/>
    <w:qFormat/>
    <w:rsid w:val="00935062"/>
    <w:pPr>
      <w:spacing w:before="100" w:beforeAutospacing="1" w:after="100" w:afterAutospacing="1" w:line="240" w:lineRule="auto"/>
      <w:jc w:val="both"/>
    </w:pPr>
    <w:rPr>
      <w:rFonts w:ascii="Times New Roman" w:eastAsia="Times New Roman" w:hAnsi="Times New Roman" w:cs="Times New Roman"/>
      <w:b/>
      <w:sz w:val="24"/>
      <w:szCs w:val="20"/>
      <w:lang w:val="en-US"/>
    </w:rPr>
  </w:style>
  <w:style w:type="table" w:styleId="TableGrid">
    <w:name w:val="Table Grid"/>
    <w:basedOn w:val="TableNormal"/>
    <w:uiPriority w:val="39"/>
    <w:rsid w:val="004271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265A"/>
    <w:rPr>
      <w:rFonts w:ascii="Times New Roman" w:hAnsi="Times New Roman" w:cs="Times New Roman"/>
      <w:sz w:val="24"/>
      <w:szCs w:val="24"/>
    </w:rPr>
  </w:style>
  <w:style w:type="character" w:customStyle="1" w:styleId="cf01">
    <w:name w:val="cf01"/>
    <w:basedOn w:val="DefaultParagraphFont"/>
    <w:rsid w:val="00813B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229">
      <w:bodyDiv w:val="1"/>
      <w:marLeft w:val="0"/>
      <w:marRight w:val="0"/>
      <w:marTop w:val="0"/>
      <w:marBottom w:val="0"/>
      <w:divBdr>
        <w:top w:val="none" w:sz="0" w:space="0" w:color="auto"/>
        <w:left w:val="none" w:sz="0" w:space="0" w:color="auto"/>
        <w:bottom w:val="none" w:sz="0" w:space="0" w:color="auto"/>
        <w:right w:val="none" w:sz="0" w:space="0" w:color="auto"/>
      </w:divBdr>
      <w:divsChild>
        <w:div w:id="124742052">
          <w:marLeft w:val="0"/>
          <w:marRight w:val="0"/>
          <w:marTop w:val="0"/>
          <w:marBottom w:val="0"/>
          <w:divBdr>
            <w:top w:val="none" w:sz="0" w:space="0" w:color="auto"/>
            <w:left w:val="none" w:sz="0" w:space="0" w:color="auto"/>
            <w:bottom w:val="none" w:sz="0" w:space="0" w:color="auto"/>
            <w:right w:val="none" w:sz="0" w:space="0" w:color="auto"/>
          </w:divBdr>
          <w:divsChild>
            <w:div w:id="1309477495">
              <w:marLeft w:val="0"/>
              <w:marRight w:val="0"/>
              <w:marTop w:val="0"/>
              <w:marBottom w:val="0"/>
              <w:divBdr>
                <w:top w:val="none" w:sz="0" w:space="0" w:color="auto"/>
                <w:left w:val="none" w:sz="0" w:space="0" w:color="auto"/>
                <w:bottom w:val="none" w:sz="0" w:space="0" w:color="auto"/>
                <w:right w:val="none" w:sz="0" w:space="0" w:color="auto"/>
              </w:divBdr>
            </w:div>
          </w:divsChild>
        </w:div>
        <w:div w:id="1391270452">
          <w:marLeft w:val="0"/>
          <w:marRight w:val="0"/>
          <w:marTop w:val="0"/>
          <w:marBottom w:val="0"/>
          <w:divBdr>
            <w:top w:val="none" w:sz="0" w:space="0" w:color="auto"/>
            <w:left w:val="none" w:sz="0" w:space="0" w:color="auto"/>
            <w:bottom w:val="none" w:sz="0" w:space="0" w:color="auto"/>
            <w:right w:val="none" w:sz="0" w:space="0" w:color="auto"/>
          </w:divBdr>
          <w:divsChild>
            <w:div w:id="1598906036">
              <w:marLeft w:val="0"/>
              <w:marRight w:val="0"/>
              <w:marTop w:val="0"/>
              <w:marBottom w:val="0"/>
              <w:divBdr>
                <w:top w:val="none" w:sz="0" w:space="0" w:color="auto"/>
                <w:left w:val="none" w:sz="0" w:space="0" w:color="auto"/>
                <w:bottom w:val="none" w:sz="0" w:space="0" w:color="auto"/>
                <w:right w:val="none" w:sz="0" w:space="0" w:color="auto"/>
              </w:divBdr>
            </w:div>
          </w:divsChild>
        </w:div>
        <w:div w:id="1790853848">
          <w:marLeft w:val="0"/>
          <w:marRight w:val="0"/>
          <w:marTop w:val="0"/>
          <w:marBottom w:val="0"/>
          <w:divBdr>
            <w:top w:val="none" w:sz="0" w:space="0" w:color="auto"/>
            <w:left w:val="none" w:sz="0" w:space="0" w:color="auto"/>
            <w:bottom w:val="none" w:sz="0" w:space="0" w:color="auto"/>
            <w:right w:val="none" w:sz="0" w:space="0" w:color="auto"/>
          </w:divBdr>
          <w:divsChild>
            <w:div w:id="177636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9248">
      <w:bodyDiv w:val="1"/>
      <w:marLeft w:val="0"/>
      <w:marRight w:val="0"/>
      <w:marTop w:val="0"/>
      <w:marBottom w:val="0"/>
      <w:divBdr>
        <w:top w:val="none" w:sz="0" w:space="0" w:color="auto"/>
        <w:left w:val="none" w:sz="0" w:space="0" w:color="auto"/>
        <w:bottom w:val="none" w:sz="0" w:space="0" w:color="auto"/>
        <w:right w:val="none" w:sz="0" w:space="0" w:color="auto"/>
      </w:divBdr>
    </w:div>
    <w:div w:id="240605484">
      <w:bodyDiv w:val="1"/>
      <w:marLeft w:val="0"/>
      <w:marRight w:val="0"/>
      <w:marTop w:val="0"/>
      <w:marBottom w:val="0"/>
      <w:divBdr>
        <w:top w:val="none" w:sz="0" w:space="0" w:color="auto"/>
        <w:left w:val="none" w:sz="0" w:space="0" w:color="auto"/>
        <w:bottom w:val="none" w:sz="0" w:space="0" w:color="auto"/>
        <w:right w:val="none" w:sz="0" w:space="0" w:color="auto"/>
      </w:divBdr>
    </w:div>
    <w:div w:id="328171190">
      <w:bodyDiv w:val="1"/>
      <w:marLeft w:val="0"/>
      <w:marRight w:val="0"/>
      <w:marTop w:val="0"/>
      <w:marBottom w:val="0"/>
      <w:divBdr>
        <w:top w:val="none" w:sz="0" w:space="0" w:color="auto"/>
        <w:left w:val="none" w:sz="0" w:space="0" w:color="auto"/>
        <w:bottom w:val="none" w:sz="0" w:space="0" w:color="auto"/>
        <w:right w:val="none" w:sz="0" w:space="0" w:color="auto"/>
      </w:divBdr>
    </w:div>
    <w:div w:id="338507074">
      <w:bodyDiv w:val="1"/>
      <w:marLeft w:val="0"/>
      <w:marRight w:val="0"/>
      <w:marTop w:val="0"/>
      <w:marBottom w:val="0"/>
      <w:divBdr>
        <w:top w:val="none" w:sz="0" w:space="0" w:color="auto"/>
        <w:left w:val="none" w:sz="0" w:space="0" w:color="auto"/>
        <w:bottom w:val="none" w:sz="0" w:space="0" w:color="auto"/>
        <w:right w:val="none" w:sz="0" w:space="0" w:color="auto"/>
      </w:divBdr>
    </w:div>
    <w:div w:id="397826814">
      <w:bodyDiv w:val="1"/>
      <w:marLeft w:val="0"/>
      <w:marRight w:val="0"/>
      <w:marTop w:val="0"/>
      <w:marBottom w:val="0"/>
      <w:divBdr>
        <w:top w:val="none" w:sz="0" w:space="0" w:color="auto"/>
        <w:left w:val="none" w:sz="0" w:space="0" w:color="auto"/>
        <w:bottom w:val="none" w:sz="0" w:space="0" w:color="auto"/>
        <w:right w:val="none" w:sz="0" w:space="0" w:color="auto"/>
      </w:divBdr>
    </w:div>
    <w:div w:id="402724321">
      <w:bodyDiv w:val="1"/>
      <w:marLeft w:val="0"/>
      <w:marRight w:val="0"/>
      <w:marTop w:val="0"/>
      <w:marBottom w:val="0"/>
      <w:divBdr>
        <w:top w:val="none" w:sz="0" w:space="0" w:color="auto"/>
        <w:left w:val="none" w:sz="0" w:space="0" w:color="auto"/>
        <w:bottom w:val="none" w:sz="0" w:space="0" w:color="auto"/>
        <w:right w:val="none" w:sz="0" w:space="0" w:color="auto"/>
      </w:divBdr>
    </w:div>
    <w:div w:id="444428993">
      <w:bodyDiv w:val="1"/>
      <w:marLeft w:val="0"/>
      <w:marRight w:val="0"/>
      <w:marTop w:val="0"/>
      <w:marBottom w:val="0"/>
      <w:divBdr>
        <w:top w:val="none" w:sz="0" w:space="0" w:color="auto"/>
        <w:left w:val="none" w:sz="0" w:space="0" w:color="auto"/>
        <w:bottom w:val="none" w:sz="0" w:space="0" w:color="auto"/>
        <w:right w:val="none" w:sz="0" w:space="0" w:color="auto"/>
      </w:divBdr>
    </w:div>
    <w:div w:id="468784086">
      <w:bodyDiv w:val="1"/>
      <w:marLeft w:val="0"/>
      <w:marRight w:val="0"/>
      <w:marTop w:val="0"/>
      <w:marBottom w:val="0"/>
      <w:divBdr>
        <w:top w:val="none" w:sz="0" w:space="0" w:color="auto"/>
        <w:left w:val="none" w:sz="0" w:space="0" w:color="auto"/>
        <w:bottom w:val="none" w:sz="0" w:space="0" w:color="auto"/>
        <w:right w:val="none" w:sz="0" w:space="0" w:color="auto"/>
      </w:divBdr>
    </w:div>
    <w:div w:id="612176928">
      <w:bodyDiv w:val="1"/>
      <w:marLeft w:val="0"/>
      <w:marRight w:val="0"/>
      <w:marTop w:val="0"/>
      <w:marBottom w:val="0"/>
      <w:divBdr>
        <w:top w:val="none" w:sz="0" w:space="0" w:color="auto"/>
        <w:left w:val="none" w:sz="0" w:space="0" w:color="auto"/>
        <w:bottom w:val="none" w:sz="0" w:space="0" w:color="auto"/>
        <w:right w:val="none" w:sz="0" w:space="0" w:color="auto"/>
      </w:divBdr>
    </w:div>
    <w:div w:id="613050533">
      <w:bodyDiv w:val="1"/>
      <w:marLeft w:val="0"/>
      <w:marRight w:val="0"/>
      <w:marTop w:val="0"/>
      <w:marBottom w:val="0"/>
      <w:divBdr>
        <w:top w:val="none" w:sz="0" w:space="0" w:color="auto"/>
        <w:left w:val="none" w:sz="0" w:space="0" w:color="auto"/>
        <w:bottom w:val="none" w:sz="0" w:space="0" w:color="auto"/>
        <w:right w:val="none" w:sz="0" w:space="0" w:color="auto"/>
      </w:divBdr>
    </w:div>
    <w:div w:id="736053880">
      <w:bodyDiv w:val="1"/>
      <w:marLeft w:val="0"/>
      <w:marRight w:val="0"/>
      <w:marTop w:val="0"/>
      <w:marBottom w:val="0"/>
      <w:divBdr>
        <w:top w:val="none" w:sz="0" w:space="0" w:color="auto"/>
        <w:left w:val="none" w:sz="0" w:space="0" w:color="auto"/>
        <w:bottom w:val="none" w:sz="0" w:space="0" w:color="auto"/>
        <w:right w:val="none" w:sz="0" w:space="0" w:color="auto"/>
      </w:divBdr>
    </w:div>
    <w:div w:id="737555317">
      <w:bodyDiv w:val="1"/>
      <w:marLeft w:val="0"/>
      <w:marRight w:val="0"/>
      <w:marTop w:val="0"/>
      <w:marBottom w:val="0"/>
      <w:divBdr>
        <w:top w:val="none" w:sz="0" w:space="0" w:color="auto"/>
        <w:left w:val="none" w:sz="0" w:space="0" w:color="auto"/>
        <w:bottom w:val="none" w:sz="0" w:space="0" w:color="auto"/>
        <w:right w:val="none" w:sz="0" w:space="0" w:color="auto"/>
      </w:divBdr>
    </w:div>
    <w:div w:id="794493117">
      <w:bodyDiv w:val="1"/>
      <w:marLeft w:val="0"/>
      <w:marRight w:val="0"/>
      <w:marTop w:val="0"/>
      <w:marBottom w:val="0"/>
      <w:divBdr>
        <w:top w:val="none" w:sz="0" w:space="0" w:color="auto"/>
        <w:left w:val="none" w:sz="0" w:space="0" w:color="auto"/>
        <w:bottom w:val="none" w:sz="0" w:space="0" w:color="auto"/>
        <w:right w:val="none" w:sz="0" w:space="0" w:color="auto"/>
      </w:divBdr>
    </w:div>
    <w:div w:id="806819786">
      <w:bodyDiv w:val="1"/>
      <w:marLeft w:val="0"/>
      <w:marRight w:val="0"/>
      <w:marTop w:val="0"/>
      <w:marBottom w:val="0"/>
      <w:divBdr>
        <w:top w:val="none" w:sz="0" w:space="0" w:color="auto"/>
        <w:left w:val="none" w:sz="0" w:space="0" w:color="auto"/>
        <w:bottom w:val="none" w:sz="0" w:space="0" w:color="auto"/>
        <w:right w:val="none" w:sz="0" w:space="0" w:color="auto"/>
      </w:divBdr>
    </w:div>
    <w:div w:id="846752036">
      <w:bodyDiv w:val="1"/>
      <w:marLeft w:val="0"/>
      <w:marRight w:val="0"/>
      <w:marTop w:val="0"/>
      <w:marBottom w:val="0"/>
      <w:divBdr>
        <w:top w:val="none" w:sz="0" w:space="0" w:color="auto"/>
        <w:left w:val="none" w:sz="0" w:space="0" w:color="auto"/>
        <w:bottom w:val="none" w:sz="0" w:space="0" w:color="auto"/>
        <w:right w:val="none" w:sz="0" w:space="0" w:color="auto"/>
      </w:divBdr>
    </w:div>
    <w:div w:id="924267272">
      <w:bodyDiv w:val="1"/>
      <w:marLeft w:val="0"/>
      <w:marRight w:val="0"/>
      <w:marTop w:val="0"/>
      <w:marBottom w:val="0"/>
      <w:divBdr>
        <w:top w:val="none" w:sz="0" w:space="0" w:color="auto"/>
        <w:left w:val="none" w:sz="0" w:space="0" w:color="auto"/>
        <w:bottom w:val="none" w:sz="0" w:space="0" w:color="auto"/>
        <w:right w:val="none" w:sz="0" w:space="0" w:color="auto"/>
      </w:divBdr>
    </w:div>
    <w:div w:id="951286529">
      <w:bodyDiv w:val="1"/>
      <w:marLeft w:val="0"/>
      <w:marRight w:val="0"/>
      <w:marTop w:val="0"/>
      <w:marBottom w:val="0"/>
      <w:divBdr>
        <w:top w:val="none" w:sz="0" w:space="0" w:color="auto"/>
        <w:left w:val="none" w:sz="0" w:space="0" w:color="auto"/>
        <w:bottom w:val="none" w:sz="0" w:space="0" w:color="auto"/>
        <w:right w:val="none" w:sz="0" w:space="0" w:color="auto"/>
      </w:divBdr>
    </w:div>
    <w:div w:id="1073354801">
      <w:bodyDiv w:val="1"/>
      <w:marLeft w:val="0"/>
      <w:marRight w:val="0"/>
      <w:marTop w:val="0"/>
      <w:marBottom w:val="0"/>
      <w:divBdr>
        <w:top w:val="none" w:sz="0" w:space="0" w:color="auto"/>
        <w:left w:val="none" w:sz="0" w:space="0" w:color="auto"/>
        <w:bottom w:val="none" w:sz="0" w:space="0" w:color="auto"/>
        <w:right w:val="none" w:sz="0" w:space="0" w:color="auto"/>
      </w:divBdr>
    </w:div>
    <w:div w:id="1117530595">
      <w:bodyDiv w:val="1"/>
      <w:marLeft w:val="0"/>
      <w:marRight w:val="0"/>
      <w:marTop w:val="0"/>
      <w:marBottom w:val="0"/>
      <w:divBdr>
        <w:top w:val="none" w:sz="0" w:space="0" w:color="auto"/>
        <w:left w:val="none" w:sz="0" w:space="0" w:color="auto"/>
        <w:bottom w:val="none" w:sz="0" w:space="0" w:color="auto"/>
        <w:right w:val="none" w:sz="0" w:space="0" w:color="auto"/>
      </w:divBdr>
    </w:div>
    <w:div w:id="1119031991">
      <w:bodyDiv w:val="1"/>
      <w:marLeft w:val="0"/>
      <w:marRight w:val="0"/>
      <w:marTop w:val="0"/>
      <w:marBottom w:val="0"/>
      <w:divBdr>
        <w:top w:val="none" w:sz="0" w:space="0" w:color="auto"/>
        <w:left w:val="none" w:sz="0" w:space="0" w:color="auto"/>
        <w:bottom w:val="none" w:sz="0" w:space="0" w:color="auto"/>
        <w:right w:val="none" w:sz="0" w:space="0" w:color="auto"/>
      </w:divBdr>
    </w:div>
    <w:div w:id="1213812440">
      <w:bodyDiv w:val="1"/>
      <w:marLeft w:val="0"/>
      <w:marRight w:val="0"/>
      <w:marTop w:val="0"/>
      <w:marBottom w:val="0"/>
      <w:divBdr>
        <w:top w:val="none" w:sz="0" w:space="0" w:color="auto"/>
        <w:left w:val="none" w:sz="0" w:space="0" w:color="auto"/>
        <w:bottom w:val="none" w:sz="0" w:space="0" w:color="auto"/>
        <w:right w:val="none" w:sz="0" w:space="0" w:color="auto"/>
      </w:divBdr>
    </w:div>
    <w:div w:id="1217280647">
      <w:bodyDiv w:val="1"/>
      <w:marLeft w:val="0"/>
      <w:marRight w:val="0"/>
      <w:marTop w:val="0"/>
      <w:marBottom w:val="0"/>
      <w:divBdr>
        <w:top w:val="none" w:sz="0" w:space="0" w:color="auto"/>
        <w:left w:val="none" w:sz="0" w:space="0" w:color="auto"/>
        <w:bottom w:val="none" w:sz="0" w:space="0" w:color="auto"/>
        <w:right w:val="none" w:sz="0" w:space="0" w:color="auto"/>
      </w:divBdr>
    </w:div>
    <w:div w:id="1219050237">
      <w:bodyDiv w:val="1"/>
      <w:marLeft w:val="0"/>
      <w:marRight w:val="0"/>
      <w:marTop w:val="0"/>
      <w:marBottom w:val="0"/>
      <w:divBdr>
        <w:top w:val="none" w:sz="0" w:space="0" w:color="auto"/>
        <w:left w:val="none" w:sz="0" w:space="0" w:color="auto"/>
        <w:bottom w:val="none" w:sz="0" w:space="0" w:color="auto"/>
        <w:right w:val="none" w:sz="0" w:space="0" w:color="auto"/>
      </w:divBdr>
    </w:div>
    <w:div w:id="1249584069">
      <w:bodyDiv w:val="1"/>
      <w:marLeft w:val="0"/>
      <w:marRight w:val="0"/>
      <w:marTop w:val="0"/>
      <w:marBottom w:val="0"/>
      <w:divBdr>
        <w:top w:val="none" w:sz="0" w:space="0" w:color="auto"/>
        <w:left w:val="none" w:sz="0" w:space="0" w:color="auto"/>
        <w:bottom w:val="none" w:sz="0" w:space="0" w:color="auto"/>
        <w:right w:val="none" w:sz="0" w:space="0" w:color="auto"/>
      </w:divBdr>
    </w:div>
    <w:div w:id="1250769721">
      <w:bodyDiv w:val="1"/>
      <w:marLeft w:val="0"/>
      <w:marRight w:val="0"/>
      <w:marTop w:val="0"/>
      <w:marBottom w:val="0"/>
      <w:divBdr>
        <w:top w:val="none" w:sz="0" w:space="0" w:color="auto"/>
        <w:left w:val="none" w:sz="0" w:space="0" w:color="auto"/>
        <w:bottom w:val="none" w:sz="0" w:space="0" w:color="auto"/>
        <w:right w:val="none" w:sz="0" w:space="0" w:color="auto"/>
      </w:divBdr>
    </w:div>
    <w:div w:id="1308243806">
      <w:bodyDiv w:val="1"/>
      <w:marLeft w:val="0"/>
      <w:marRight w:val="0"/>
      <w:marTop w:val="0"/>
      <w:marBottom w:val="0"/>
      <w:divBdr>
        <w:top w:val="none" w:sz="0" w:space="0" w:color="auto"/>
        <w:left w:val="none" w:sz="0" w:space="0" w:color="auto"/>
        <w:bottom w:val="none" w:sz="0" w:space="0" w:color="auto"/>
        <w:right w:val="none" w:sz="0" w:space="0" w:color="auto"/>
      </w:divBdr>
    </w:div>
    <w:div w:id="1456368131">
      <w:bodyDiv w:val="1"/>
      <w:marLeft w:val="0"/>
      <w:marRight w:val="0"/>
      <w:marTop w:val="0"/>
      <w:marBottom w:val="0"/>
      <w:divBdr>
        <w:top w:val="none" w:sz="0" w:space="0" w:color="auto"/>
        <w:left w:val="none" w:sz="0" w:space="0" w:color="auto"/>
        <w:bottom w:val="none" w:sz="0" w:space="0" w:color="auto"/>
        <w:right w:val="none" w:sz="0" w:space="0" w:color="auto"/>
      </w:divBdr>
    </w:div>
    <w:div w:id="1553230453">
      <w:bodyDiv w:val="1"/>
      <w:marLeft w:val="0"/>
      <w:marRight w:val="0"/>
      <w:marTop w:val="0"/>
      <w:marBottom w:val="0"/>
      <w:divBdr>
        <w:top w:val="none" w:sz="0" w:space="0" w:color="auto"/>
        <w:left w:val="none" w:sz="0" w:space="0" w:color="auto"/>
        <w:bottom w:val="none" w:sz="0" w:space="0" w:color="auto"/>
        <w:right w:val="none" w:sz="0" w:space="0" w:color="auto"/>
      </w:divBdr>
    </w:div>
    <w:div w:id="1597906100">
      <w:bodyDiv w:val="1"/>
      <w:marLeft w:val="0"/>
      <w:marRight w:val="0"/>
      <w:marTop w:val="0"/>
      <w:marBottom w:val="0"/>
      <w:divBdr>
        <w:top w:val="none" w:sz="0" w:space="0" w:color="auto"/>
        <w:left w:val="none" w:sz="0" w:space="0" w:color="auto"/>
        <w:bottom w:val="none" w:sz="0" w:space="0" w:color="auto"/>
        <w:right w:val="none" w:sz="0" w:space="0" w:color="auto"/>
      </w:divBdr>
    </w:div>
    <w:div w:id="1776830288">
      <w:bodyDiv w:val="1"/>
      <w:marLeft w:val="0"/>
      <w:marRight w:val="0"/>
      <w:marTop w:val="0"/>
      <w:marBottom w:val="0"/>
      <w:divBdr>
        <w:top w:val="none" w:sz="0" w:space="0" w:color="auto"/>
        <w:left w:val="none" w:sz="0" w:space="0" w:color="auto"/>
        <w:bottom w:val="none" w:sz="0" w:space="0" w:color="auto"/>
        <w:right w:val="none" w:sz="0" w:space="0" w:color="auto"/>
      </w:divBdr>
    </w:div>
    <w:div w:id="1834952923">
      <w:bodyDiv w:val="1"/>
      <w:marLeft w:val="0"/>
      <w:marRight w:val="0"/>
      <w:marTop w:val="0"/>
      <w:marBottom w:val="0"/>
      <w:divBdr>
        <w:top w:val="none" w:sz="0" w:space="0" w:color="auto"/>
        <w:left w:val="none" w:sz="0" w:space="0" w:color="auto"/>
        <w:bottom w:val="none" w:sz="0" w:space="0" w:color="auto"/>
        <w:right w:val="none" w:sz="0" w:space="0" w:color="auto"/>
      </w:divBdr>
    </w:div>
    <w:div w:id="1860318290">
      <w:bodyDiv w:val="1"/>
      <w:marLeft w:val="0"/>
      <w:marRight w:val="0"/>
      <w:marTop w:val="0"/>
      <w:marBottom w:val="0"/>
      <w:divBdr>
        <w:top w:val="none" w:sz="0" w:space="0" w:color="auto"/>
        <w:left w:val="none" w:sz="0" w:space="0" w:color="auto"/>
        <w:bottom w:val="none" w:sz="0" w:space="0" w:color="auto"/>
        <w:right w:val="none" w:sz="0" w:space="0" w:color="auto"/>
      </w:divBdr>
    </w:div>
    <w:div w:id="1873684164">
      <w:bodyDiv w:val="1"/>
      <w:marLeft w:val="0"/>
      <w:marRight w:val="0"/>
      <w:marTop w:val="0"/>
      <w:marBottom w:val="0"/>
      <w:divBdr>
        <w:top w:val="none" w:sz="0" w:space="0" w:color="auto"/>
        <w:left w:val="none" w:sz="0" w:space="0" w:color="auto"/>
        <w:bottom w:val="none" w:sz="0" w:space="0" w:color="auto"/>
        <w:right w:val="none" w:sz="0" w:space="0" w:color="auto"/>
      </w:divBdr>
    </w:div>
    <w:div w:id="1910729296">
      <w:bodyDiv w:val="1"/>
      <w:marLeft w:val="0"/>
      <w:marRight w:val="0"/>
      <w:marTop w:val="0"/>
      <w:marBottom w:val="0"/>
      <w:divBdr>
        <w:top w:val="none" w:sz="0" w:space="0" w:color="auto"/>
        <w:left w:val="none" w:sz="0" w:space="0" w:color="auto"/>
        <w:bottom w:val="none" w:sz="0" w:space="0" w:color="auto"/>
        <w:right w:val="none" w:sz="0" w:space="0" w:color="auto"/>
      </w:divBdr>
    </w:div>
    <w:div w:id="2005283297">
      <w:bodyDiv w:val="1"/>
      <w:marLeft w:val="0"/>
      <w:marRight w:val="0"/>
      <w:marTop w:val="0"/>
      <w:marBottom w:val="0"/>
      <w:divBdr>
        <w:top w:val="none" w:sz="0" w:space="0" w:color="auto"/>
        <w:left w:val="none" w:sz="0" w:space="0" w:color="auto"/>
        <w:bottom w:val="none" w:sz="0" w:space="0" w:color="auto"/>
        <w:right w:val="none" w:sz="0" w:space="0" w:color="auto"/>
      </w:divBdr>
    </w:div>
    <w:div w:id="205627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transport-community.org/wp-content/uploads/2024/07/annex-1.pdf" TargetMode="External"/><Relationship Id="rId1" Type="http://schemas.openxmlformats.org/officeDocument/2006/relationships/hyperlink" Target="https://www.transport-community.org/wp-content/uploads/2022/10/treaty-e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7928B764CB34DB639E7EB7D282FAE" ma:contentTypeVersion="17" ma:contentTypeDescription="Create a new document." ma:contentTypeScope="" ma:versionID="b438d64f6048807aba16e0f558ec91bf">
  <xsd:schema xmlns:xsd="http://www.w3.org/2001/XMLSchema" xmlns:xs="http://www.w3.org/2001/XMLSchema" xmlns:p="http://schemas.microsoft.com/office/2006/metadata/properties" xmlns:ns2="bae6e89f-20aa-4079-9501-cd3291b45971" xmlns:ns3="e6b88493-a865-49b9-b502-6098bd4e94c2" targetNamespace="http://schemas.microsoft.com/office/2006/metadata/properties" ma:root="true" ma:fieldsID="eba3dd8339e91e21341c9f3225aadca5" ns2:_="" ns3:_="">
    <xsd:import namespace="bae6e89f-20aa-4079-9501-cd3291b45971"/>
    <xsd:import namespace="e6b88493-a865-49b9-b502-6098bd4e94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6e89f-20aa-4079-9501-cd3291b45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9657bc-322d-432e-b9f5-20aab764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b88493-a865-49b9-b502-6098bd4e94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c7d1092-8c76-4edd-8d6c-49f990aea377}" ma:internalName="TaxCatchAll" ma:showField="CatchAllData" ma:web="e6b88493-a865-49b9-b502-6098bd4e9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b88493-a865-49b9-b502-6098bd4e94c2" xsi:nil="true"/>
    <lcf76f155ced4ddcb4097134ff3c332f xmlns="bae6e89f-20aa-4079-9501-cd3291b4597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47E51-4346-4A97-98ED-4A9A996E5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6e89f-20aa-4079-9501-cd3291b45971"/>
    <ds:schemaRef ds:uri="e6b88493-a865-49b9-b502-6098bd4e9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82D24-12E0-4F7D-91FF-0919D9F1B717}">
  <ds:schemaRefs>
    <ds:schemaRef ds:uri="http://schemas.microsoft.com/office/2006/metadata/properties"/>
    <ds:schemaRef ds:uri="http://schemas.microsoft.com/office/infopath/2007/PartnerControls"/>
    <ds:schemaRef ds:uri="e6b88493-a865-49b9-b502-6098bd4e94c2"/>
    <ds:schemaRef ds:uri="bae6e89f-20aa-4079-9501-cd3291b45971"/>
  </ds:schemaRefs>
</ds:datastoreItem>
</file>

<file path=customXml/itemProps3.xml><?xml version="1.0" encoding="utf-8"?>
<ds:datastoreItem xmlns:ds="http://schemas.openxmlformats.org/officeDocument/2006/customXml" ds:itemID="{F391D827-639C-411D-90DF-251969A68E99}">
  <ds:schemaRefs>
    <ds:schemaRef ds:uri="http://schemas.openxmlformats.org/officeDocument/2006/bibliography"/>
  </ds:schemaRefs>
</ds:datastoreItem>
</file>

<file path=customXml/itemProps4.xml><?xml version="1.0" encoding="utf-8"?>
<ds:datastoreItem xmlns:ds="http://schemas.openxmlformats.org/officeDocument/2006/customXml" ds:itemID="{EBCCB64E-B7B2-428B-968E-C7EE28C3F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1615</Words>
  <Characters>9387</Characters>
  <Application>Microsoft Office Word</Application>
  <DocSecurity>0</DocSecurity>
  <Lines>223</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10873</CharactersWithSpaces>
  <SharedDoc>false</SharedDoc>
  <HLinks>
    <vt:vector size="48" baseType="variant">
      <vt:variant>
        <vt:i4>5767188</vt:i4>
      </vt:variant>
      <vt:variant>
        <vt:i4>3</vt:i4>
      </vt:variant>
      <vt:variant>
        <vt:i4>0</vt:i4>
      </vt:variant>
      <vt:variant>
        <vt:i4>5</vt:i4>
      </vt:variant>
      <vt:variant>
        <vt:lpwstr>https://www.transport-community.org/tenders/closed-tenders/completed-tenders/developing-clean-bus-platform-2/</vt:lpwstr>
      </vt:variant>
      <vt:variant>
        <vt:lpwstr/>
      </vt:variant>
      <vt:variant>
        <vt:i4>2687017</vt:i4>
      </vt:variant>
      <vt:variant>
        <vt:i4>0</vt:i4>
      </vt:variant>
      <vt:variant>
        <vt:i4>0</vt:i4>
      </vt:variant>
      <vt:variant>
        <vt:i4>5</vt:i4>
      </vt:variant>
      <vt:variant>
        <vt:lpwstr>https://www.transport-community.org/tenders/closed-tenders/completed-tenders/setting-up-the-western-balkans-electronic-register-of-road-undertakings-wbrru/</vt:lpwstr>
      </vt:variant>
      <vt:variant>
        <vt:lpwstr/>
      </vt:variant>
      <vt:variant>
        <vt:i4>4128893</vt:i4>
      </vt:variant>
      <vt:variant>
        <vt:i4>3</vt:i4>
      </vt:variant>
      <vt:variant>
        <vt:i4>0</vt:i4>
      </vt:variant>
      <vt:variant>
        <vt:i4>5</vt:i4>
      </vt:variant>
      <vt:variant>
        <vt:lpwstr>https://www.transport-community.org/wp-content/uploads/2024/07/annex-1.pdf</vt:lpwstr>
      </vt:variant>
      <vt:variant>
        <vt:lpwstr/>
      </vt:variant>
      <vt:variant>
        <vt:i4>5767251</vt:i4>
      </vt:variant>
      <vt:variant>
        <vt:i4>0</vt:i4>
      </vt:variant>
      <vt:variant>
        <vt:i4>0</vt:i4>
      </vt:variant>
      <vt:variant>
        <vt:i4>5</vt:i4>
      </vt:variant>
      <vt:variant>
        <vt:lpwstr>https://www.transport-community.org/wp-content/uploads/2022/10/treaty-en.pdf</vt:lpwstr>
      </vt:variant>
      <vt:variant>
        <vt:lpwstr/>
      </vt:variant>
      <vt:variant>
        <vt:i4>5767203</vt:i4>
      </vt:variant>
      <vt:variant>
        <vt:i4>9</vt:i4>
      </vt:variant>
      <vt:variant>
        <vt:i4>0</vt:i4>
      </vt:variant>
      <vt:variant>
        <vt:i4>5</vt:i4>
      </vt:variant>
      <vt:variant>
        <vt:lpwstr>mailto:nbegovic@transport-community.org</vt:lpwstr>
      </vt:variant>
      <vt:variant>
        <vt:lpwstr/>
      </vt:variant>
      <vt:variant>
        <vt:i4>3932226</vt:i4>
      </vt:variant>
      <vt:variant>
        <vt:i4>6</vt:i4>
      </vt:variant>
      <vt:variant>
        <vt:i4>0</vt:i4>
      </vt:variant>
      <vt:variant>
        <vt:i4>5</vt:i4>
      </vt:variant>
      <vt:variant>
        <vt:lpwstr>mailto:nhoxha@transport-community.org</vt:lpwstr>
      </vt:variant>
      <vt:variant>
        <vt:lpwstr/>
      </vt:variant>
      <vt:variant>
        <vt:i4>5767203</vt:i4>
      </vt:variant>
      <vt:variant>
        <vt:i4>3</vt:i4>
      </vt:variant>
      <vt:variant>
        <vt:i4>0</vt:i4>
      </vt:variant>
      <vt:variant>
        <vt:i4>5</vt:i4>
      </vt:variant>
      <vt:variant>
        <vt:lpwstr>mailto:nbegovic@transport-community.org</vt:lpwstr>
      </vt:variant>
      <vt:variant>
        <vt:lpwstr/>
      </vt:variant>
      <vt:variant>
        <vt:i4>3932226</vt:i4>
      </vt:variant>
      <vt:variant>
        <vt:i4>0</vt:i4>
      </vt:variant>
      <vt:variant>
        <vt:i4>0</vt:i4>
      </vt:variant>
      <vt:variant>
        <vt:i4>5</vt:i4>
      </vt:variant>
      <vt:variant>
        <vt:lpwstr>mailto:nhoxha@transport-community.org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Liljana Çela</dc:creator>
  <cp:keywords/>
  <dc:description/>
  <cp:lastModifiedBy>Ružica Simović</cp:lastModifiedBy>
  <cp:revision>48</cp:revision>
  <dcterms:created xsi:type="dcterms:W3CDTF">2026-05-05T08:03:00Z</dcterms:created>
  <dcterms:modified xsi:type="dcterms:W3CDTF">2026-05-19T09:32:00Z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0x0101000F97928B764CB34DB639E7EB7D282FAE</vt:lpwstr>
  </property>
  <property fmtid="{D5CDD505-2E9C-101B-9397-08002B2CF9AE}" pid="3" name="MediaServiceImageTags">
    <vt:lpwstr/>
  </property>
  <property fmtid="{D5CDD505-2E9C-101B-9397-08002B2CF9AE}" pid="4" name="GrammarlyDocumentId">
    <vt:lpwstr>1a57b80e4108f78502f5e0a3b534fac5ab72e6de2bed1027e19beedab9512748</vt:lpwstr>
  </property>
</Properties>
</file>