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9B7C" w14:textId="77777777" w:rsidR="00192E7B" w:rsidRDefault="00192E7B" w:rsidP="00E07F80">
      <w:pPr>
        <w:spacing w:after="120" w:line="360" w:lineRule="auto"/>
        <w:jc w:val="center"/>
        <w:rPr>
          <w:rFonts w:ascii="Arial" w:hAnsi="Arial" w:cs="Arial"/>
          <w:b/>
          <w:bCs/>
        </w:rPr>
      </w:pPr>
    </w:p>
    <w:p w14:paraId="303676F4" w14:textId="288D87E2" w:rsidR="007448DD" w:rsidRPr="00E07F80" w:rsidRDefault="007448DD" w:rsidP="00E07F80">
      <w:pPr>
        <w:spacing w:after="120" w:line="360" w:lineRule="auto"/>
        <w:jc w:val="center"/>
        <w:rPr>
          <w:rFonts w:ascii="Arial" w:hAnsi="Arial" w:cs="Arial"/>
          <w:b/>
          <w:bCs/>
        </w:rPr>
      </w:pPr>
      <w:r w:rsidRPr="00E07F80">
        <w:rPr>
          <w:rFonts w:ascii="Arial" w:hAnsi="Arial" w:cs="Arial"/>
          <w:b/>
          <w:bCs/>
        </w:rPr>
        <w:t>Terms of reference for</w:t>
      </w:r>
      <w:r w:rsidR="005119E3">
        <w:rPr>
          <w:rFonts w:ascii="Arial" w:hAnsi="Arial" w:cs="Arial"/>
          <w:b/>
          <w:bCs/>
        </w:rPr>
        <w:t xml:space="preserve"> </w:t>
      </w:r>
      <w:r w:rsidR="00A562C1" w:rsidRPr="00E07F80">
        <w:rPr>
          <w:rFonts w:ascii="Arial" w:hAnsi="Arial" w:cs="Arial"/>
          <w:b/>
          <w:bCs/>
        </w:rPr>
        <w:t xml:space="preserve">the </w:t>
      </w:r>
      <w:r w:rsidRPr="00E07F80">
        <w:rPr>
          <w:rFonts w:ascii="Arial" w:hAnsi="Arial" w:cs="Arial"/>
          <w:b/>
          <w:bCs/>
        </w:rPr>
        <w:t>engagement of</w:t>
      </w:r>
    </w:p>
    <w:p w14:paraId="0C92688A" w14:textId="5CDCA87C" w:rsidR="00106077" w:rsidRPr="00E07F80" w:rsidRDefault="000A7EF7" w:rsidP="00E07F80">
      <w:pPr>
        <w:spacing w:after="120" w:line="360" w:lineRule="auto"/>
        <w:jc w:val="center"/>
        <w:rPr>
          <w:rFonts w:ascii="Arial" w:hAnsi="Arial" w:cs="Arial"/>
        </w:rPr>
      </w:pPr>
      <w:r w:rsidRPr="00E07F80">
        <w:rPr>
          <w:rFonts w:ascii="Arial" w:hAnsi="Arial" w:cs="Arial"/>
          <w:b/>
          <w:bCs/>
        </w:rPr>
        <w:t>Local</w:t>
      </w:r>
      <w:r w:rsidR="00CC764C" w:rsidRPr="00E07F80">
        <w:rPr>
          <w:rFonts w:ascii="Arial" w:hAnsi="Arial" w:cs="Arial"/>
          <w:b/>
          <w:bCs/>
        </w:rPr>
        <w:t>ly</w:t>
      </w:r>
      <w:r w:rsidRPr="00E07F80">
        <w:rPr>
          <w:rFonts w:ascii="Arial" w:hAnsi="Arial" w:cs="Arial"/>
          <w:b/>
          <w:bCs/>
        </w:rPr>
        <w:t xml:space="preserve"> contracted expert</w:t>
      </w:r>
      <w:r w:rsidR="00F71519" w:rsidRPr="00E07F80">
        <w:rPr>
          <w:rFonts w:ascii="Arial" w:hAnsi="Arial" w:cs="Arial"/>
          <w:b/>
          <w:bCs/>
        </w:rPr>
        <w:t xml:space="preserve"> – </w:t>
      </w:r>
      <w:r w:rsidR="006A24D0">
        <w:rPr>
          <w:rFonts w:ascii="Arial" w:hAnsi="Arial" w:cs="Arial"/>
          <w:b/>
          <w:bCs/>
        </w:rPr>
        <w:t>Expert</w:t>
      </w:r>
      <w:r w:rsidR="005F7CFE" w:rsidRPr="005F7CFE">
        <w:rPr>
          <w:rFonts w:ascii="Arial" w:hAnsi="Arial" w:cs="Arial"/>
          <w:b/>
          <w:bCs/>
        </w:rPr>
        <w:t xml:space="preserve"> to support </w:t>
      </w:r>
      <w:bookmarkStart w:id="0" w:name="_Hlk195691060"/>
      <w:bookmarkStart w:id="1" w:name="_Hlk195690451"/>
      <w:r w:rsidR="007B7D1C" w:rsidRPr="007B7D1C">
        <w:rPr>
          <w:rFonts w:ascii="Arial" w:hAnsi="Arial" w:cs="Arial"/>
          <w:b/>
          <w:bCs/>
        </w:rPr>
        <w:t>the Preparation of the “Strategic Environmental Assessment (SEA)” for the “Transport Sector Strategy and Action Plan 2030” </w:t>
      </w:r>
      <w:r w:rsidR="007B7D1C">
        <w:rPr>
          <w:rFonts w:ascii="Arial" w:hAnsi="Arial" w:cs="Arial"/>
          <w:b/>
          <w:bCs/>
        </w:rPr>
        <w:t>in Albania</w:t>
      </w:r>
    </w:p>
    <w:bookmarkEnd w:id="0"/>
    <w:bookmarkEnd w:id="1"/>
    <w:p w14:paraId="5E9DF54A" w14:textId="3C7E2FAC" w:rsidR="00FE79E9" w:rsidRPr="00E07F80" w:rsidRDefault="00FE79E9" w:rsidP="00005CD7">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t>Background</w:t>
      </w:r>
    </w:p>
    <w:p w14:paraId="049ADE16" w14:textId="224DC5C2" w:rsidR="00215525" w:rsidRPr="00E07F80" w:rsidRDefault="00215525" w:rsidP="00E07F80">
      <w:pPr>
        <w:spacing w:after="120" w:line="360" w:lineRule="auto"/>
        <w:jc w:val="both"/>
        <w:rPr>
          <w:rFonts w:ascii="Arial" w:hAnsi="Arial" w:cs="Arial"/>
          <w:iCs/>
        </w:rPr>
      </w:pPr>
      <w:r w:rsidRPr="00E07F80">
        <w:rPr>
          <w:rFonts w:ascii="Arial" w:hAnsi="Arial" w:cs="Arial"/>
          <w:iCs/>
        </w:rPr>
        <w:t xml:space="preserve">The Transport Community is an international organisation in the field of mobility and transport. It has 36 participants – the European Union Member States represented by the European Commission, the </w:t>
      </w:r>
      <w:r w:rsidR="0013031A" w:rsidRPr="00E07F80">
        <w:rPr>
          <w:rFonts w:ascii="Arial" w:hAnsi="Arial" w:cs="Arial"/>
          <w:iCs/>
        </w:rPr>
        <w:t>Southeast</w:t>
      </w:r>
      <w:r w:rsidRPr="00E07F80">
        <w:rPr>
          <w:rFonts w:ascii="Arial" w:hAnsi="Arial" w:cs="Arial"/>
          <w:iCs/>
        </w:rPr>
        <w:t xml:space="preserve"> European Parties (the Republic of Albania, Bosnia and Herzegovina, Kosovo*, Montenegro, the Republic of North Macedonia, and the Republic of Serbia - hereinafter referred at collectively as “regional partners”) and the three observing participants (Georgia, Republic of Moldova and Ukraine). Transport Community is working on integrating Western Balkans’ transport markets into the EU by assisting the regional partners in adopting and implementing the EU legislation in the transport field and supporting projects connecting the region with the EU.</w:t>
      </w:r>
    </w:p>
    <w:p w14:paraId="4446A77E" w14:textId="433596FF" w:rsidR="00215525" w:rsidRPr="00E07F80" w:rsidRDefault="00215525" w:rsidP="00E07F80">
      <w:pPr>
        <w:spacing w:after="120" w:line="360" w:lineRule="auto"/>
        <w:jc w:val="both"/>
        <w:rPr>
          <w:rFonts w:ascii="Arial" w:hAnsi="Arial" w:cs="Arial"/>
          <w:iCs/>
        </w:rPr>
      </w:pPr>
      <w:r w:rsidRPr="00E07F80">
        <w:rPr>
          <w:rFonts w:ascii="Arial" w:hAnsi="Arial" w:cs="Arial"/>
          <w:iCs/>
        </w:rPr>
        <w:t xml:space="preserve">The organisation </w:t>
      </w:r>
      <w:r w:rsidR="00E04F7F" w:rsidRPr="00E07F80">
        <w:rPr>
          <w:rFonts w:ascii="Arial" w:hAnsi="Arial" w:cs="Arial"/>
          <w:iCs/>
        </w:rPr>
        <w:t>was</w:t>
      </w:r>
      <w:r w:rsidRPr="00E07F80">
        <w:rPr>
          <w:rFonts w:ascii="Arial" w:hAnsi="Arial" w:cs="Arial"/>
          <w:iCs/>
        </w:rPr>
        <w:t xml:space="preserve"> founded </w:t>
      </w:r>
      <w:r w:rsidR="00E04F7F" w:rsidRPr="00E07F80">
        <w:rPr>
          <w:rFonts w:ascii="Arial" w:hAnsi="Arial" w:cs="Arial"/>
          <w:iCs/>
        </w:rPr>
        <w:t xml:space="preserve">with </w:t>
      </w:r>
      <w:r w:rsidR="00AA2AE7" w:rsidRPr="00E07F80">
        <w:rPr>
          <w:rFonts w:ascii="Arial" w:hAnsi="Arial" w:cs="Arial"/>
          <w:iCs/>
        </w:rPr>
        <w:t>a</w:t>
      </w:r>
      <w:r w:rsidRPr="00E07F80">
        <w:rPr>
          <w:rFonts w:ascii="Arial" w:hAnsi="Arial" w:cs="Arial"/>
          <w:iCs/>
        </w:rPr>
        <w:t xml:space="preserve"> Treaty</w:t>
      </w:r>
      <w:r w:rsidRPr="00E07F80">
        <w:rPr>
          <w:rStyle w:val="FootnoteReference"/>
          <w:rFonts w:ascii="Arial" w:hAnsi="Arial" w:cs="Arial"/>
          <w:iCs/>
        </w:rPr>
        <w:footnoteReference w:id="2"/>
      </w:r>
      <w:r w:rsidRPr="00E07F80">
        <w:rPr>
          <w:rFonts w:ascii="Arial" w:hAnsi="Arial" w:cs="Arial"/>
          <w:iCs/>
        </w:rPr>
        <w:t xml:space="preserve"> </w:t>
      </w:r>
      <w:r w:rsidR="00950C1F" w:rsidRPr="00E07F80">
        <w:rPr>
          <w:rFonts w:ascii="Arial" w:hAnsi="Arial" w:cs="Arial"/>
          <w:iCs/>
        </w:rPr>
        <w:t>Establishing</w:t>
      </w:r>
      <w:r w:rsidRPr="00E07F80">
        <w:rPr>
          <w:rFonts w:ascii="Arial" w:hAnsi="Arial" w:cs="Arial"/>
          <w:iCs/>
        </w:rPr>
        <w:t xml:space="preserve"> the Transport Community</w:t>
      </w:r>
      <w:r w:rsidR="00E04F7F" w:rsidRPr="00E07F80">
        <w:rPr>
          <w:rFonts w:ascii="Arial" w:hAnsi="Arial" w:cs="Arial"/>
          <w:iCs/>
        </w:rPr>
        <w:t>, signed on 9</w:t>
      </w:r>
      <w:r w:rsidRPr="00E07F80">
        <w:rPr>
          <w:rFonts w:ascii="Arial" w:hAnsi="Arial" w:cs="Arial"/>
          <w:iCs/>
        </w:rPr>
        <w:t xml:space="preserve"> October 2017 by all partners (Council Decision (EU) 2019/392).</w:t>
      </w:r>
    </w:p>
    <w:p w14:paraId="01C46D4A" w14:textId="5682E422" w:rsidR="008A74B2" w:rsidRPr="008A74B2" w:rsidRDefault="00215525" w:rsidP="00AB3EAE">
      <w:pPr>
        <w:spacing w:after="120" w:line="360" w:lineRule="auto"/>
        <w:jc w:val="both"/>
        <w:rPr>
          <w:rFonts w:ascii="Arial" w:hAnsi="Arial" w:cs="Arial"/>
        </w:rPr>
      </w:pPr>
      <w:r w:rsidRPr="00E07F80">
        <w:rPr>
          <w:rFonts w:ascii="Arial" w:hAnsi="Arial" w:cs="Arial"/>
          <w:iCs/>
        </w:rPr>
        <w:t>The aim of the Treaty</w:t>
      </w:r>
      <w:r w:rsidR="00200C21" w:rsidRPr="00E07F80">
        <w:rPr>
          <w:rFonts w:ascii="Arial" w:hAnsi="Arial" w:cs="Arial"/>
          <w:iCs/>
        </w:rPr>
        <w:t>, therefore,</w:t>
      </w:r>
      <w:r w:rsidRPr="00E07F80">
        <w:rPr>
          <w:rFonts w:ascii="Arial" w:hAnsi="Arial" w:cs="Arial"/>
          <w:iCs/>
        </w:rPr>
        <w:t xml:space="preserve"> is the creation of a Transport Community in the field</w:t>
      </w:r>
      <w:r w:rsidR="00F91F6F" w:rsidRPr="00E07F80">
        <w:rPr>
          <w:rFonts w:ascii="Arial" w:hAnsi="Arial" w:cs="Arial"/>
          <w:iCs/>
        </w:rPr>
        <w:t>s</w:t>
      </w:r>
      <w:r w:rsidRPr="00E07F80">
        <w:rPr>
          <w:rFonts w:ascii="Arial" w:hAnsi="Arial" w:cs="Arial"/>
          <w:iCs/>
        </w:rPr>
        <w:t xml:space="preserve"> of road, rail, inland waterway, and maritime transport as well as the development of the transport network between the European Union and the Western Balkan Parties.</w:t>
      </w:r>
      <w:r w:rsidRPr="00E07F80">
        <w:rPr>
          <w:rFonts w:ascii="Arial" w:hAnsi="Arial" w:cs="Arial"/>
        </w:rPr>
        <w:t xml:space="preserve"> </w:t>
      </w:r>
      <w:r w:rsidRPr="00E07F80">
        <w:rPr>
          <w:rFonts w:ascii="Arial" w:hAnsi="Arial" w:cs="Arial"/>
          <w:iCs/>
        </w:rPr>
        <w:t xml:space="preserve">The Transport Community shall be based on the progressive integration of transport markets of the </w:t>
      </w:r>
      <w:proofErr w:type="gramStart"/>
      <w:r w:rsidRPr="00E07F80">
        <w:rPr>
          <w:rFonts w:ascii="Arial" w:hAnsi="Arial" w:cs="Arial"/>
          <w:iCs/>
        </w:rPr>
        <w:t>South East</w:t>
      </w:r>
      <w:proofErr w:type="gramEnd"/>
      <w:r w:rsidRPr="00E07F80">
        <w:rPr>
          <w:rFonts w:ascii="Arial" w:hAnsi="Arial" w:cs="Arial"/>
          <w:iCs/>
        </w:rPr>
        <w:t xml:space="preserve"> European Parties into the European Union transport market </w:t>
      </w:r>
      <w:r w:rsidR="00F91F6F" w:rsidRPr="00E07F80">
        <w:rPr>
          <w:rFonts w:ascii="Arial" w:hAnsi="Arial" w:cs="Arial"/>
          <w:iCs/>
        </w:rPr>
        <w:t>based on</w:t>
      </w:r>
      <w:r w:rsidRPr="00E07F80">
        <w:rPr>
          <w:rFonts w:ascii="Arial" w:hAnsi="Arial" w:cs="Arial"/>
          <w:iCs/>
        </w:rPr>
        <w:t xml:space="preserve"> the relevant acquis, including in the areas of technical standards, interoperability, safety, security, traffic management, social policy, public procurement and environment, for all modes of transport excluding air transport. For this purpose, this Treaty sets out the rules applicable between the Contracting Parties under the conditions set out hereinafter. </w:t>
      </w:r>
      <w:bookmarkStart w:id="2" w:name="_Hlk193806327"/>
    </w:p>
    <w:bookmarkEnd w:id="2"/>
    <w:p w14:paraId="66E41FE9" w14:textId="77777777" w:rsidR="00377511" w:rsidRPr="00885CCA" w:rsidRDefault="00377511" w:rsidP="00377511">
      <w:pPr>
        <w:spacing w:after="120" w:line="360" w:lineRule="auto"/>
        <w:jc w:val="both"/>
        <w:rPr>
          <w:rFonts w:ascii="Arial" w:eastAsia="Arial" w:hAnsi="Arial" w:cs="Arial"/>
          <w:kern w:val="0"/>
          <w:lang w:val="en-US"/>
          <w14:ligatures w14:val="none"/>
        </w:rPr>
      </w:pPr>
      <w:r w:rsidRPr="00885CCA">
        <w:rPr>
          <w:rFonts w:ascii="Arial" w:eastAsia="Arial" w:hAnsi="Arial" w:cs="Arial"/>
          <w:kern w:val="0"/>
          <w:lang w:val="en-US"/>
          <w14:ligatures w14:val="none"/>
        </w:rPr>
        <w:t xml:space="preserve">This support is directly aligned with Albania’s national transport policy objectives, </w:t>
      </w:r>
      <w:r>
        <w:rPr>
          <w:rFonts w:ascii="Arial" w:eastAsia="Arial" w:hAnsi="Arial" w:cs="Arial"/>
          <w:kern w:val="0"/>
          <w:lang w:val="en-US"/>
          <w14:ligatures w14:val="none"/>
        </w:rPr>
        <w:t>as part of</w:t>
      </w:r>
      <w:r w:rsidRPr="00885CCA">
        <w:rPr>
          <w:rFonts w:ascii="Arial" w:eastAsia="Arial" w:hAnsi="Arial" w:cs="Arial"/>
          <w:kern w:val="0"/>
          <w:lang w:val="en-US"/>
          <w14:ligatures w14:val="none"/>
        </w:rPr>
        <w:t xml:space="preserve"> the Transport Strategy and Action Plan, and contributes to the strategic planning and development of </w:t>
      </w:r>
      <w:r w:rsidRPr="00885CCA">
        <w:rPr>
          <w:rFonts w:ascii="Arial" w:eastAsia="Arial" w:hAnsi="Arial" w:cs="Arial"/>
          <w:kern w:val="0"/>
          <w:lang w:val="en-US"/>
          <w14:ligatures w14:val="none"/>
        </w:rPr>
        <w:lastRenderedPageBreak/>
        <w:t xml:space="preserve">the TEN-T network in Albania. As </w:t>
      </w:r>
      <w:r>
        <w:rPr>
          <w:rFonts w:ascii="Arial" w:eastAsia="Arial" w:hAnsi="Arial" w:cs="Arial"/>
          <w:kern w:val="0"/>
          <w:lang w:val="en-US"/>
          <w14:ligatures w14:val="none"/>
        </w:rPr>
        <w:t>Albania</w:t>
      </w:r>
      <w:r w:rsidRPr="00885CCA">
        <w:rPr>
          <w:rFonts w:ascii="Arial" w:eastAsia="Arial" w:hAnsi="Arial" w:cs="Arial"/>
          <w:kern w:val="0"/>
          <w:lang w:val="en-US"/>
          <w14:ligatures w14:val="none"/>
        </w:rPr>
        <w:t xml:space="preserve"> advances the implementation of the indicative TEN-T extension network and prepares future transport investments, it is essential that transport plans, </w:t>
      </w:r>
      <w:proofErr w:type="spellStart"/>
      <w:r w:rsidRPr="00885CCA">
        <w:rPr>
          <w:rFonts w:ascii="Arial" w:eastAsia="Arial" w:hAnsi="Arial" w:cs="Arial"/>
          <w:kern w:val="0"/>
          <w:lang w:val="en-US"/>
          <w14:ligatures w14:val="none"/>
        </w:rPr>
        <w:t>programmes</w:t>
      </w:r>
      <w:proofErr w:type="spellEnd"/>
      <w:r w:rsidRPr="00885CCA">
        <w:rPr>
          <w:rFonts w:ascii="Arial" w:eastAsia="Arial" w:hAnsi="Arial" w:cs="Arial"/>
          <w:kern w:val="0"/>
          <w:lang w:val="en-US"/>
          <w14:ligatures w14:val="none"/>
        </w:rPr>
        <w:t>, and corridor development initiatives are supported by robust and EU-compliant Strategic Environmental Assessment (SEA) processes.</w:t>
      </w:r>
    </w:p>
    <w:p w14:paraId="58A92C32" w14:textId="77777777" w:rsidR="00377511" w:rsidRPr="00885CCA" w:rsidRDefault="00377511" w:rsidP="00377511">
      <w:pPr>
        <w:spacing w:after="120" w:line="360" w:lineRule="auto"/>
        <w:jc w:val="both"/>
        <w:rPr>
          <w:rFonts w:ascii="Arial" w:eastAsia="Arial" w:hAnsi="Arial" w:cs="Arial"/>
          <w:kern w:val="0"/>
          <w:lang w:val="en-US"/>
          <w14:ligatures w14:val="none"/>
        </w:rPr>
      </w:pPr>
      <w:r w:rsidRPr="00885CCA">
        <w:rPr>
          <w:rFonts w:ascii="Arial" w:eastAsia="Arial" w:hAnsi="Arial" w:cs="Arial"/>
          <w:kern w:val="0"/>
          <w:lang w:val="en-US"/>
          <w14:ligatures w14:val="none"/>
        </w:rPr>
        <w:t>In this context, SEA is not merely a regulatory requirement but a key planning tool that ensures environmental, climate resilience, and sustainability considerations are integrated into transport policy and infrastructure planning from the earliest stages. The effective application of SEA enables Albania to assess the cumulative impacts of transport development alternatives, improve decision-making, and ensure that TEN-T network expansion is undertaken in a coordinated and sustainable manner.</w:t>
      </w:r>
    </w:p>
    <w:p w14:paraId="6D117259" w14:textId="77777777" w:rsidR="00377511" w:rsidRPr="00885CCA" w:rsidRDefault="00377511" w:rsidP="00377511">
      <w:pPr>
        <w:spacing w:after="120" w:line="360" w:lineRule="auto"/>
        <w:jc w:val="both"/>
        <w:rPr>
          <w:rFonts w:ascii="Arial" w:eastAsia="Arial" w:hAnsi="Arial" w:cs="Arial"/>
          <w:kern w:val="0"/>
          <w:lang w:val="en-US"/>
          <w14:ligatures w14:val="none"/>
        </w:rPr>
      </w:pPr>
      <w:r w:rsidRPr="00885CCA">
        <w:rPr>
          <w:rFonts w:ascii="Arial" w:eastAsia="Arial" w:hAnsi="Arial" w:cs="Arial"/>
          <w:kern w:val="0"/>
          <w:lang w:val="en-US"/>
          <w14:ligatures w14:val="none"/>
        </w:rPr>
        <w:t xml:space="preserve">The action specifically supports the implementation of Directive 2001/42/EC on Strategic Environmental Assessment (SEA), which requires that transport strategies, plans, and </w:t>
      </w:r>
      <w:proofErr w:type="spellStart"/>
      <w:proofErr w:type="gramStart"/>
      <w:r w:rsidRPr="00885CCA">
        <w:rPr>
          <w:rFonts w:ascii="Arial" w:eastAsia="Arial" w:hAnsi="Arial" w:cs="Arial"/>
          <w:kern w:val="0"/>
          <w:lang w:val="en-US"/>
          <w14:ligatures w14:val="none"/>
        </w:rPr>
        <w:t>programmes</w:t>
      </w:r>
      <w:proofErr w:type="spellEnd"/>
      <w:proofErr w:type="gramEnd"/>
      <w:r>
        <w:rPr>
          <w:rFonts w:ascii="Arial" w:eastAsia="Arial" w:hAnsi="Arial" w:cs="Arial"/>
          <w:kern w:val="0"/>
          <w:lang w:val="en-US"/>
          <w14:ligatures w14:val="none"/>
        </w:rPr>
        <w:t xml:space="preserve"> </w:t>
      </w:r>
      <w:r w:rsidRPr="00885CCA">
        <w:rPr>
          <w:rFonts w:ascii="Arial" w:eastAsia="Arial" w:hAnsi="Arial" w:cs="Arial"/>
          <w:kern w:val="0"/>
          <w:lang w:val="en-US"/>
          <w14:ligatures w14:val="none"/>
        </w:rPr>
        <w:t>including those guiding TEN-T network development</w:t>
      </w:r>
      <w:r>
        <w:rPr>
          <w:rFonts w:ascii="Arial" w:eastAsia="Arial" w:hAnsi="Arial" w:cs="Arial"/>
          <w:kern w:val="0"/>
          <w:lang w:val="en-US"/>
          <w14:ligatures w14:val="none"/>
        </w:rPr>
        <w:t xml:space="preserve"> </w:t>
      </w:r>
      <w:r w:rsidRPr="00885CCA">
        <w:rPr>
          <w:rFonts w:ascii="Arial" w:eastAsia="Arial" w:hAnsi="Arial" w:cs="Arial"/>
          <w:kern w:val="0"/>
          <w:lang w:val="en-US"/>
          <w14:ligatures w14:val="none"/>
        </w:rPr>
        <w:t>are subject to environmental assessment prior to their adoption. Strengthening the application of SEA within the transport sector will improve the quality of strategic planning documents, facilitate better coordination between transport and environmental authorities, and support the identification of sustainable investment priorities.</w:t>
      </w:r>
    </w:p>
    <w:p w14:paraId="515CA7A8" w14:textId="77777777" w:rsidR="00377511" w:rsidRPr="00885CCA" w:rsidRDefault="00377511" w:rsidP="00377511">
      <w:pPr>
        <w:spacing w:after="120" w:line="360" w:lineRule="auto"/>
        <w:jc w:val="both"/>
        <w:rPr>
          <w:rFonts w:ascii="Arial" w:eastAsia="Arial" w:hAnsi="Arial" w:cs="Arial"/>
          <w:kern w:val="0"/>
          <w:lang w:val="en-US"/>
          <w14:ligatures w14:val="none"/>
        </w:rPr>
      </w:pPr>
      <w:r w:rsidRPr="00885CCA">
        <w:rPr>
          <w:rFonts w:ascii="Arial" w:eastAsia="Arial" w:hAnsi="Arial" w:cs="Arial"/>
          <w:kern w:val="0"/>
          <w:lang w:val="en-US"/>
          <w14:ligatures w14:val="none"/>
        </w:rPr>
        <w:t>By enhancing institutional capacity for the preparation and implementation of SEA, this action contributes to the development of a mature and coherent transport planning framework that underpins Albania’s TEN-T Development Plan and broader transport investment pipeline. It will help ensure that future network development is aligned with EU standards, supports sustainable connectivity objectives, and facilitates the efficient preparation of transport projects required for the progressive integration of Albania into the wider European transport network.</w:t>
      </w:r>
    </w:p>
    <w:p w14:paraId="6A98C473" w14:textId="77777777" w:rsidR="00377511" w:rsidRPr="00885CCA" w:rsidRDefault="00377511" w:rsidP="00377511">
      <w:pPr>
        <w:spacing w:after="120" w:line="360" w:lineRule="auto"/>
        <w:jc w:val="both"/>
        <w:rPr>
          <w:rFonts w:ascii="Arial" w:eastAsia="Arial" w:hAnsi="Arial" w:cs="Arial"/>
          <w:kern w:val="0"/>
          <w:lang w:val="en-US"/>
          <w14:ligatures w14:val="none"/>
        </w:rPr>
      </w:pPr>
      <w:r w:rsidRPr="00885CCA">
        <w:rPr>
          <w:rFonts w:ascii="Arial" w:eastAsia="Arial" w:hAnsi="Arial" w:cs="Arial"/>
          <w:kern w:val="0"/>
          <w:lang w:val="en-US"/>
          <w14:ligatures w14:val="none"/>
        </w:rPr>
        <w:t>Overall, the action contributes to the implementation of the Transport Community Treaty obligations while supporting Albania’s objective of developing a sustainable, resilient, and well-planned TEN-T network that strengthens regional and European connectivity</w:t>
      </w:r>
      <w:r>
        <w:rPr>
          <w:rFonts w:ascii="Arial" w:eastAsia="Arial" w:hAnsi="Arial" w:cs="Arial"/>
          <w:kern w:val="0"/>
          <w:lang w:val="en-US"/>
          <w14:ligatures w14:val="none"/>
        </w:rPr>
        <w:t>.</w:t>
      </w:r>
    </w:p>
    <w:p w14:paraId="748049BB" w14:textId="5D5304A5" w:rsidR="006F3C51" w:rsidRPr="006F3C51" w:rsidRDefault="006F3C51" w:rsidP="006F3C51">
      <w:pPr>
        <w:spacing w:after="120" w:line="360" w:lineRule="auto"/>
        <w:jc w:val="both"/>
        <w:rPr>
          <w:rFonts w:ascii="Arial" w:eastAsia="Arial" w:hAnsi="Arial" w:cs="Arial"/>
          <w:kern w:val="0"/>
          <w:lang w:val="en-US"/>
          <w14:ligatures w14:val="none"/>
        </w:rPr>
      </w:pPr>
    </w:p>
    <w:p w14:paraId="792715F6" w14:textId="0EC2193E" w:rsidR="00FE79E9" w:rsidRPr="00E0697F" w:rsidRDefault="00FE79E9" w:rsidP="00CC7F1E">
      <w:pPr>
        <w:pStyle w:val="ListParagraph"/>
        <w:numPr>
          <w:ilvl w:val="0"/>
          <w:numId w:val="1"/>
        </w:numPr>
        <w:tabs>
          <w:tab w:val="left" w:pos="567"/>
        </w:tabs>
        <w:autoSpaceDE w:val="0"/>
        <w:autoSpaceDN w:val="0"/>
        <w:spacing w:after="120" w:line="360" w:lineRule="auto"/>
        <w:ind w:left="567" w:hanging="567"/>
        <w:contextualSpacing w:val="0"/>
        <w:jc w:val="both"/>
        <w:rPr>
          <w:rFonts w:ascii="Arial" w:hAnsi="Arial" w:cs="Arial"/>
        </w:rPr>
      </w:pPr>
      <w:r w:rsidRPr="00E0697F">
        <w:rPr>
          <w:rFonts w:ascii="Arial" w:hAnsi="Arial" w:cs="Arial"/>
          <w:b/>
          <w:bCs/>
          <w:kern w:val="0"/>
        </w:rPr>
        <w:t>Description of the assignment</w:t>
      </w:r>
      <w:r w:rsidR="00B203C2" w:rsidRPr="00E0697F">
        <w:rPr>
          <w:rFonts w:ascii="Arial" w:hAnsi="Arial" w:cs="Arial"/>
          <w:b/>
          <w:bCs/>
          <w:kern w:val="0"/>
        </w:rPr>
        <w:t xml:space="preserve"> </w:t>
      </w:r>
    </w:p>
    <w:p w14:paraId="6E6F1B23" w14:textId="36364ADE" w:rsidR="003F0ADC" w:rsidRPr="00E0697F" w:rsidRDefault="003F0ADC" w:rsidP="00AB67B9">
      <w:pPr>
        <w:spacing w:after="120" w:line="360" w:lineRule="auto"/>
        <w:jc w:val="both"/>
        <w:rPr>
          <w:rFonts w:ascii="Arial" w:hAnsi="Arial" w:cs="Arial"/>
        </w:rPr>
      </w:pPr>
      <w:bookmarkStart w:id="3" w:name="_Hlk203558712"/>
      <w:r w:rsidRPr="00E0697F">
        <w:rPr>
          <w:rFonts w:ascii="Arial" w:hAnsi="Arial" w:cs="Arial"/>
        </w:rPr>
        <w:t xml:space="preserve">The Ministry of Infrastructure and Energy has prepared the Transport Sector Strategy and Action Plan 2030, as the main strategic document for the development of the transport sector in the </w:t>
      </w:r>
      <w:r w:rsidRPr="00E0697F">
        <w:rPr>
          <w:rFonts w:ascii="Arial" w:hAnsi="Arial" w:cs="Arial"/>
        </w:rPr>
        <w:lastRenderedPageBreak/>
        <w:t>Republic of Albania, in line with national development priorities, the European integration process, and the objectives for transitioning toward a sustainable, smart, multimodal, and climate-neutral transport system.</w:t>
      </w:r>
      <w:r w:rsidR="00B40452" w:rsidRPr="00E0697F">
        <w:rPr>
          <w:rFonts w:ascii="Arial" w:hAnsi="Arial" w:cs="Arial"/>
        </w:rPr>
        <w:t xml:space="preserve"> </w:t>
      </w:r>
      <w:r w:rsidRPr="00E0697F">
        <w:rPr>
          <w:rFonts w:ascii="Arial" w:hAnsi="Arial" w:cs="Arial"/>
        </w:rPr>
        <w:t xml:space="preserve">The Strategy covers the development of all transport modes, </w:t>
      </w:r>
      <w:proofErr w:type="gramStart"/>
      <w:r w:rsidRPr="00E0697F">
        <w:rPr>
          <w:rFonts w:ascii="Arial" w:hAnsi="Arial" w:cs="Arial"/>
        </w:rPr>
        <w:t>including:</w:t>
      </w:r>
      <w:proofErr w:type="gramEnd"/>
      <w:r w:rsidR="00B40452" w:rsidRPr="00E0697F">
        <w:rPr>
          <w:rFonts w:ascii="Arial" w:hAnsi="Arial" w:cs="Arial"/>
        </w:rPr>
        <w:t xml:space="preserve"> </w:t>
      </w:r>
      <w:r w:rsidRPr="00E0697F">
        <w:rPr>
          <w:rFonts w:ascii="Arial" w:hAnsi="Arial" w:cs="Arial"/>
        </w:rPr>
        <w:t>road transport; railway transport; maritime transport; air transport; multimodal transport; intelligent transport systems;</w:t>
      </w:r>
      <w:r w:rsidR="00B40452" w:rsidRPr="00E0697F">
        <w:rPr>
          <w:rFonts w:ascii="Arial" w:hAnsi="Arial" w:cs="Arial"/>
        </w:rPr>
        <w:t xml:space="preserve"> </w:t>
      </w:r>
      <w:r w:rsidRPr="00E0697F">
        <w:rPr>
          <w:rFonts w:ascii="Arial" w:hAnsi="Arial" w:cs="Arial"/>
        </w:rPr>
        <w:t xml:space="preserve">decarbonization and climate resilience of the sector. </w:t>
      </w:r>
    </w:p>
    <w:p w14:paraId="3770FCD6" w14:textId="07984E3F" w:rsidR="003F0ADC" w:rsidRPr="00E0697F" w:rsidRDefault="003F0ADC" w:rsidP="00AB67B9">
      <w:pPr>
        <w:spacing w:after="120" w:line="360" w:lineRule="auto"/>
        <w:rPr>
          <w:rFonts w:ascii="Arial" w:hAnsi="Arial" w:cs="Arial"/>
        </w:rPr>
      </w:pPr>
      <w:r w:rsidRPr="00E0697F">
        <w:rPr>
          <w:rFonts w:ascii="Arial" w:hAnsi="Arial" w:cs="Arial"/>
        </w:rPr>
        <w:t>In accordance with</w:t>
      </w:r>
      <w:r w:rsidR="00B35DE1">
        <w:rPr>
          <w:rFonts w:ascii="Arial" w:hAnsi="Arial" w:cs="Arial"/>
        </w:rPr>
        <w:t xml:space="preserve"> Albanian legislation</w:t>
      </w:r>
      <w:r w:rsidR="003E151A">
        <w:rPr>
          <w:rFonts w:ascii="Arial" w:hAnsi="Arial" w:cs="Arial"/>
        </w:rPr>
        <w:t xml:space="preserve"> and EU Directive</w:t>
      </w:r>
      <w:r w:rsidRPr="00E0697F">
        <w:rPr>
          <w:rFonts w:ascii="Arial" w:hAnsi="Arial" w:cs="Arial"/>
        </w:rPr>
        <w:t>:</w:t>
      </w:r>
    </w:p>
    <w:p w14:paraId="04A05F9C" w14:textId="77777777" w:rsidR="003F0ADC" w:rsidRPr="00E0697F" w:rsidRDefault="003F0ADC" w:rsidP="00AB67B9">
      <w:pPr>
        <w:numPr>
          <w:ilvl w:val="0"/>
          <w:numId w:val="19"/>
        </w:numPr>
        <w:spacing w:after="120" w:line="360" w:lineRule="auto"/>
        <w:rPr>
          <w:rFonts w:ascii="Arial" w:hAnsi="Arial" w:cs="Arial"/>
        </w:rPr>
      </w:pPr>
      <w:r w:rsidRPr="00E0697F">
        <w:rPr>
          <w:rFonts w:ascii="Arial" w:hAnsi="Arial" w:cs="Arial"/>
        </w:rPr>
        <w:t xml:space="preserve">Law No. 91/2013 “On Strategic Environmental Assessment”; </w:t>
      </w:r>
    </w:p>
    <w:p w14:paraId="17808A30" w14:textId="77777777" w:rsidR="003F0ADC" w:rsidRPr="00E0697F" w:rsidRDefault="003F0ADC" w:rsidP="00AB67B9">
      <w:pPr>
        <w:numPr>
          <w:ilvl w:val="0"/>
          <w:numId w:val="19"/>
        </w:numPr>
        <w:spacing w:after="120" w:line="360" w:lineRule="auto"/>
        <w:rPr>
          <w:rFonts w:ascii="Arial" w:hAnsi="Arial" w:cs="Arial"/>
        </w:rPr>
      </w:pPr>
      <w:r w:rsidRPr="00E0697F">
        <w:rPr>
          <w:rFonts w:ascii="Arial" w:hAnsi="Arial" w:cs="Arial"/>
        </w:rPr>
        <w:t xml:space="preserve">Council of Ministers Decision (CMD) No. 219, dated 11.03.2015 “On defining the rules and procedures for consultation with stakeholders and the public, as well as public hearings during the SEA process”; </w:t>
      </w:r>
    </w:p>
    <w:p w14:paraId="394214DA" w14:textId="77777777" w:rsidR="003F0ADC" w:rsidRPr="00E0697F" w:rsidRDefault="003F0ADC" w:rsidP="00AB67B9">
      <w:pPr>
        <w:numPr>
          <w:ilvl w:val="0"/>
          <w:numId w:val="19"/>
        </w:numPr>
        <w:spacing w:after="120" w:line="360" w:lineRule="auto"/>
        <w:rPr>
          <w:rFonts w:ascii="Arial" w:hAnsi="Arial" w:cs="Arial"/>
        </w:rPr>
      </w:pPr>
      <w:r w:rsidRPr="00E0697F">
        <w:rPr>
          <w:rFonts w:ascii="Arial" w:hAnsi="Arial" w:cs="Arial"/>
        </w:rPr>
        <w:t xml:space="preserve">CMD No. 507, dated 10.06.2015 “On the approval of the detailed list of plans or programs with negative environmental impacts that shall be subject to the SEA process”; </w:t>
      </w:r>
    </w:p>
    <w:p w14:paraId="3726B8A0" w14:textId="77777777" w:rsidR="003F0ADC" w:rsidRPr="00E0697F" w:rsidRDefault="003F0ADC" w:rsidP="00AB67B9">
      <w:pPr>
        <w:numPr>
          <w:ilvl w:val="0"/>
          <w:numId w:val="19"/>
        </w:numPr>
        <w:spacing w:after="120" w:line="360" w:lineRule="auto"/>
        <w:rPr>
          <w:rFonts w:ascii="Arial" w:hAnsi="Arial" w:cs="Arial"/>
        </w:rPr>
      </w:pPr>
      <w:r w:rsidRPr="00E0697F">
        <w:rPr>
          <w:rFonts w:ascii="Arial" w:hAnsi="Arial" w:cs="Arial"/>
        </w:rPr>
        <w:t xml:space="preserve">European Union Directive 2001/42/EC; </w:t>
      </w:r>
    </w:p>
    <w:p w14:paraId="6385AC43" w14:textId="77777777" w:rsidR="003F0ADC" w:rsidRPr="00E0697F" w:rsidRDefault="003F0ADC" w:rsidP="00AB67B9">
      <w:pPr>
        <w:numPr>
          <w:ilvl w:val="0"/>
          <w:numId w:val="19"/>
        </w:numPr>
        <w:spacing w:after="120" w:line="360" w:lineRule="auto"/>
        <w:rPr>
          <w:rFonts w:ascii="Arial" w:hAnsi="Arial" w:cs="Arial"/>
        </w:rPr>
      </w:pPr>
      <w:r w:rsidRPr="00E0697F">
        <w:rPr>
          <w:rFonts w:ascii="Arial" w:hAnsi="Arial" w:cs="Arial"/>
        </w:rPr>
        <w:t xml:space="preserve">the Kiev Protocol on SEA; </w:t>
      </w:r>
    </w:p>
    <w:p w14:paraId="7BD55E29" w14:textId="4902306A" w:rsidR="00B40452" w:rsidRPr="00E0697F" w:rsidRDefault="003F0ADC" w:rsidP="00AB67B9">
      <w:pPr>
        <w:spacing w:after="120" w:line="360" w:lineRule="auto"/>
        <w:jc w:val="both"/>
        <w:rPr>
          <w:rFonts w:ascii="Arial" w:hAnsi="Arial" w:cs="Arial"/>
        </w:rPr>
      </w:pPr>
      <w:r w:rsidRPr="00E0697F">
        <w:rPr>
          <w:rFonts w:ascii="Arial" w:hAnsi="Arial" w:cs="Arial"/>
        </w:rPr>
        <w:t xml:space="preserve">the Transport Sector Strategy and Action Plan 2030 </w:t>
      </w:r>
      <w:r w:rsidR="008D4C1E">
        <w:rPr>
          <w:rFonts w:ascii="Arial" w:hAnsi="Arial" w:cs="Arial"/>
        </w:rPr>
        <w:t xml:space="preserve">need to </w:t>
      </w:r>
      <w:r w:rsidRPr="00E0697F">
        <w:rPr>
          <w:rFonts w:ascii="Arial" w:hAnsi="Arial" w:cs="Arial"/>
        </w:rPr>
        <w:t>undergo the Strategic Environmental Assessment (SEA) process, with the objective of integrating environmental, climate, and social considerations into the strategic planning and decision-making process.</w:t>
      </w:r>
    </w:p>
    <w:p w14:paraId="21A97CD2" w14:textId="7BBEFFCA" w:rsidR="00B40452" w:rsidRPr="00E0697F" w:rsidRDefault="00B40452" w:rsidP="00AB67B9">
      <w:pPr>
        <w:spacing w:after="120" w:line="360" w:lineRule="auto"/>
        <w:jc w:val="both"/>
        <w:rPr>
          <w:rFonts w:ascii="Arial" w:hAnsi="Arial" w:cs="Arial"/>
        </w:rPr>
      </w:pPr>
      <w:r w:rsidRPr="00E0697F">
        <w:rPr>
          <w:rFonts w:ascii="Arial" w:hAnsi="Arial" w:cs="Arial"/>
        </w:rPr>
        <w:t>The purpose of th</w:t>
      </w:r>
      <w:r w:rsidR="00A93AF2">
        <w:rPr>
          <w:rFonts w:ascii="Arial" w:hAnsi="Arial" w:cs="Arial"/>
        </w:rPr>
        <w:t xml:space="preserve">e engagement of locally contracted </w:t>
      </w:r>
      <w:proofErr w:type="gramStart"/>
      <w:r w:rsidR="00A93AF2">
        <w:rPr>
          <w:rFonts w:ascii="Arial" w:hAnsi="Arial" w:cs="Arial"/>
        </w:rPr>
        <w:t xml:space="preserve">expert </w:t>
      </w:r>
      <w:r w:rsidRPr="00E0697F">
        <w:rPr>
          <w:rFonts w:ascii="Arial" w:hAnsi="Arial" w:cs="Arial"/>
        </w:rPr>
        <w:t xml:space="preserve"> is</w:t>
      </w:r>
      <w:proofErr w:type="gramEnd"/>
      <w:r w:rsidRPr="00E0697F">
        <w:rPr>
          <w:rFonts w:ascii="Arial" w:hAnsi="Arial" w:cs="Arial"/>
        </w:rPr>
        <w:t xml:space="preserve"> the preparation of the Strategic Environmental Assessment (SEA) for the Transport Sector Strategy and Action Plan 2030, in accordance with Albanian SEA legislation and the requirements of the European Union acquis.</w:t>
      </w:r>
    </w:p>
    <w:p w14:paraId="7E264147" w14:textId="77777777" w:rsidR="00B40452" w:rsidRPr="00E0697F" w:rsidRDefault="00B40452" w:rsidP="00AB67B9">
      <w:pPr>
        <w:spacing w:after="120" w:line="360" w:lineRule="auto"/>
        <w:rPr>
          <w:rFonts w:ascii="Arial" w:hAnsi="Arial" w:cs="Arial"/>
        </w:rPr>
      </w:pPr>
      <w:r w:rsidRPr="00E0697F">
        <w:rPr>
          <w:rFonts w:ascii="Arial" w:hAnsi="Arial" w:cs="Arial"/>
        </w:rPr>
        <w:t>The SEA shall:</w:t>
      </w:r>
    </w:p>
    <w:p w14:paraId="1CA33B74" w14:textId="77777777" w:rsidR="00B40452" w:rsidRPr="00E0697F" w:rsidRDefault="00B40452" w:rsidP="00AB67B9">
      <w:pPr>
        <w:numPr>
          <w:ilvl w:val="0"/>
          <w:numId w:val="20"/>
        </w:numPr>
        <w:spacing w:after="120" w:line="360" w:lineRule="auto"/>
        <w:rPr>
          <w:rFonts w:ascii="Arial" w:hAnsi="Arial" w:cs="Arial"/>
        </w:rPr>
      </w:pPr>
      <w:r w:rsidRPr="00E0697F">
        <w:rPr>
          <w:rFonts w:ascii="Arial" w:hAnsi="Arial" w:cs="Arial"/>
        </w:rPr>
        <w:t xml:space="preserve">identify and assess the potential environmental, climate, and social impacts of the Strategy; </w:t>
      </w:r>
    </w:p>
    <w:p w14:paraId="3D2C91F4" w14:textId="77777777" w:rsidR="00B40452" w:rsidRPr="00E0697F" w:rsidRDefault="00B40452" w:rsidP="00AB67B9">
      <w:pPr>
        <w:numPr>
          <w:ilvl w:val="0"/>
          <w:numId w:val="20"/>
        </w:numPr>
        <w:spacing w:after="120" w:line="360" w:lineRule="auto"/>
        <w:rPr>
          <w:rFonts w:ascii="Arial" w:hAnsi="Arial" w:cs="Arial"/>
        </w:rPr>
      </w:pPr>
      <w:proofErr w:type="spellStart"/>
      <w:r w:rsidRPr="00E0697F">
        <w:rPr>
          <w:rFonts w:ascii="Arial" w:hAnsi="Arial" w:cs="Arial"/>
        </w:rPr>
        <w:t>analyze</w:t>
      </w:r>
      <w:proofErr w:type="spellEnd"/>
      <w:r w:rsidRPr="00E0697F">
        <w:rPr>
          <w:rFonts w:ascii="Arial" w:hAnsi="Arial" w:cs="Arial"/>
        </w:rPr>
        <w:t xml:space="preserve"> strategic alternatives; </w:t>
      </w:r>
    </w:p>
    <w:p w14:paraId="725243EF" w14:textId="77777777" w:rsidR="00EB39D0" w:rsidRDefault="00EB39D0" w:rsidP="00AB67B9">
      <w:pPr>
        <w:numPr>
          <w:ilvl w:val="0"/>
          <w:numId w:val="20"/>
        </w:numPr>
        <w:spacing w:after="120" w:line="360" w:lineRule="auto"/>
        <w:rPr>
          <w:rFonts w:ascii="Arial" w:hAnsi="Arial" w:cs="Arial"/>
        </w:rPr>
      </w:pPr>
      <w:r w:rsidRPr="00E0697F">
        <w:rPr>
          <w:rFonts w:ascii="Arial" w:hAnsi="Arial" w:cs="Arial"/>
        </w:rPr>
        <w:t>ensure compliance with national and international objectives related to environment, climate, and sustainable transport</w:t>
      </w:r>
      <w:r>
        <w:rPr>
          <w:rFonts w:ascii="Arial" w:hAnsi="Arial" w:cs="Arial"/>
        </w:rPr>
        <w:t>,</w:t>
      </w:r>
    </w:p>
    <w:p w14:paraId="59051D76" w14:textId="77777777" w:rsidR="00EB39D0" w:rsidRPr="00E0697F" w:rsidRDefault="00EB39D0" w:rsidP="00AB67B9">
      <w:pPr>
        <w:numPr>
          <w:ilvl w:val="0"/>
          <w:numId w:val="20"/>
        </w:numPr>
        <w:spacing w:after="120" w:line="360" w:lineRule="auto"/>
        <w:rPr>
          <w:rFonts w:ascii="Arial" w:hAnsi="Arial" w:cs="Arial"/>
        </w:rPr>
      </w:pPr>
      <w:r w:rsidRPr="00CA219A">
        <w:rPr>
          <w:rFonts w:ascii="Arial" w:hAnsi="Arial" w:cs="Arial"/>
        </w:rPr>
        <w:t>assess the Strategy’s consistency with EU Green Deal objectives, national climate commitments, and decarbonization targets for the transport sector.</w:t>
      </w:r>
    </w:p>
    <w:p w14:paraId="71E81C0C" w14:textId="77777777" w:rsidR="00B40452" w:rsidRPr="00E0697F" w:rsidRDefault="00B40452" w:rsidP="00AB67B9">
      <w:pPr>
        <w:numPr>
          <w:ilvl w:val="0"/>
          <w:numId w:val="20"/>
        </w:numPr>
        <w:spacing w:after="120" w:line="360" w:lineRule="auto"/>
        <w:rPr>
          <w:rFonts w:ascii="Arial" w:hAnsi="Arial" w:cs="Arial"/>
        </w:rPr>
      </w:pPr>
      <w:r w:rsidRPr="00E0697F">
        <w:rPr>
          <w:rFonts w:ascii="Arial" w:hAnsi="Arial" w:cs="Arial"/>
        </w:rPr>
        <w:lastRenderedPageBreak/>
        <w:t xml:space="preserve">propose preventive, mitigation, and monitoring measures; </w:t>
      </w:r>
    </w:p>
    <w:p w14:paraId="156B26BC" w14:textId="77777777" w:rsidR="00EB39D0" w:rsidRPr="00E0697F" w:rsidRDefault="00EB39D0" w:rsidP="00AB67B9">
      <w:pPr>
        <w:numPr>
          <w:ilvl w:val="0"/>
          <w:numId w:val="20"/>
        </w:numPr>
        <w:spacing w:after="120" w:line="360" w:lineRule="auto"/>
        <w:rPr>
          <w:rFonts w:ascii="Arial" w:hAnsi="Arial" w:cs="Arial"/>
        </w:rPr>
      </w:pPr>
      <w:r w:rsidRPr="00E0697F">
        <w:rPr>
          <w:rFonts w:ascii="Arial" w:hAnsi="Arial" w:cs="Arial"/>
        </w:rPr>
        <w:t xml:space="preserve">support the public and institutional consultation process; </w:t>
      </w:r>
    </w:p>
    <w:p w14:paraId="7088F377" w14:textId="6967E549" w:rsidR="00B40452" w:rsidRPr="00E0697F" w:rsidRDefault="00B40452" w:rsidP="00AB67B9">
      <w:pPr>
        <w:numPr>
          <w:ilvl w:val="0"/>
          <w:numId w:val="20"/>
        </w:numPr>
        <w:spacing w:after="120" w:line="360" w:lineRule="auto"/>
        <w:rPr>
          <w:rFonts w:ascii="Arial" w:hAnsi="Arial" w:cs="Arial"/>
        </w:rPr>
      </w:pPr>
      <w:r w:rsidRPr="00E0697F">
        <w:rPr>
          <w:rFonts w:ascii="Arial" w:hAnsi="Arial" w:cs="Arial"/>
        </w:rPr>
        <w:t>support the integration of environmental protection and sustainable development objectives into the Strategy</w:t>
      </w:r>
      <w:r w:rsidR="00EB39D0">
        <w:rPr>
          <w:rFonts w:ascii="Arial" w:hAnsi="Arial" w:cs="Arial"/>
        </w:rPr>
        <w:t>.</w:t>
      </w:r>
      <w:r w:rsidRPr="00E0697F">
        <w:rPr>
          <w:rFonts w:ascii="Arial" w:hAnsi="Arial" w:cs="Arial"/>
        </w:rPr>
        <w:t xml:space="preserve"> </w:t>
      </w:r>
    </w:p>
    <w:p w14:paraId="011A34EB" w14:textId="036E2A38" w:rsidR="00D958B2" w:rsidRPr="00E0697F" w:rsidRDefault="00D958B2" w:rsidP="00AB67B9">
      <w:pPr>
        <w:spacing w:after="120" w:line="360" w:lineRule="auto"/>
        <w:rPr>
          <w:rFonts w:ascii="Arial" w:hAnsi="Arial" w:cs="Arial"/>
        </w:rPr>
      </w:pPr>
      <w:r w:rsidRPr="00E0697F">
        <w:rPr>
          <w:rFonts w:ascii="Arial" w:hAnsi="Arial" w:cs="Arial"/>
        </w:rPr>
        <w:t xml:space="preserve">As for the specific objectives of this assignment, the </w:t>
      </w:r>
      <w:r w:rsidR="00FB3F68">
        <w:rPr>
          <w:rFonts w:ascii="Arial" w:hAnsi="Arial" w:cs="Arial"/>
        </w:rPr>
        <w:t>locally contracted expert</w:t>
      </w:r>
      <w:r w:rsidRPr="00E0697F">
        <w:rPr>
          <w:rFonts w:ascii="Arial" w:hAnsi="Arial" w:cs="Arial"/>
        </w:rPr>
        <w:t xml:space="preserve"> shall:</w:t>
      </w:r>
    </w:p>
    <w:p w14:paraId="656CC3D5" w14:textId="77777777" w:rsidR="00D958B2" w:rsidRPr="00E0697F" w:rsidRDefault="00D958B2" w:rsidP="00AB67B9">
      <w:pPr>
        <w:numPr>
          <w:ilvl w:val="0"/>
          <w:numId w:val="21"/>
        </w:numPr>
        <w:spacing w:after="120" w:line="360" w:lineRule="auto"/>
        <w:rPr>
          <w:rFonts w:ascii="Arial" w:hAnsi="Arial" w:cs="Arial"/>
        </w:rPr>
      </w:pPr>
      <w:proofErr w:type="spellStart"/>
      <w:r w:rsidRPr="00E0697F">
        <w:rPr>
          <w:rFonts w:ascii="Arial" w:hAnsi="Arial" w:cs="Arial"/>
        </w:rPr>
        <w:t>Analyze</w:t>
      </w:r>
      <w:proofErr w:type="spellEnd"/>
      <w:r w:rsidRPr="00E0697F">
        <w:rPr>
          <w:rFonts w:ascii="Arial" w:hAnsi="Arial" w:cs="Arial"/>
        </w:rPr>
        <w:t xml:space="preserve"> the Transport Sector Strategy and Action Plan 2030; </w:t>
      </w:r>
    </w:p>
    <w:p w14:paraId="18A19F85" w14:textId="77777777" w:rsidR="00D958B2" w:rsidRPr="00E0697F" w:rsidRDefault="00D958B2" w:rsidP="00AB67B9">
      <w:pPr>
        <w:numPr>
          <w:ilvl w:val="0"/>
          <w:numId w:val="21"/>
        </w:numPr>
        <w:spacing w:after="120" w:line="360" w:lineRule="auto"/>
        <w:rPr>
          <w:rFonts w:ascii="Arial" w:hAnsi="Arial" w:cs="Arial"/>
        </w:rPr>
      </w:pPr>
      <w:r w:rsidRPr="00E0697F">
        <w:rPr>
          <w:rFonts w:ascii="Arial" w:hAnsi="Arial" w:cs="Arial"/>
        </w:rPr>
        <w:t xml:space="preserve">Define the scope of the SEA (Scoping); </w:t>
      </w:r>
    </w:p>
    <w:p w14:paraId="0B7167CB" w14:textId="77777777" w:rsidR="00D958B2" w:rsidRPr="00E0697F" w:rsidRDefault="00D958B2" w:rsidP="00AB67B9">
      <w:pPr>
        <w:numPr>
          <w:ilvl w:val="0"/>
          <w:numId w:val="21"/>
        </w:numPr>
        <w:spacing w:after="120" w:line="360" w:lineRule="auto"/>
        <w:rPr>
          <w:rFonts w:ascii="Arial" w:hAnsi="Arial" w:cs="Arial"/>
        </w:rPr>
      </w:pPr>
      <w:r w:rsidRPr="00E0697F">
        <w:rPr>
          <w:rFonts w:ascii="Arial" w:hAnsi="Arial" w:cs="Arial"/>
        </w:rPr>
        <w:t xml:space="preserve">Identify key environmental and social receptors and issues; </w:t>
      </w:r>
    </w:p>
    <w:p w14:paraId="18A78C3F" w14:textId="77777777" w:rsidR="00D958B2" w:rsidRPr="00E0697F" w:rsidRDefault="00D958B2" w:rsidP="00AB67B9">
      <w:pPr>
        <w:numPr>
          <w:ilvl w:val="0"/>
          <w:numId w:val="21"/>
        </w:numPr>
        <w:spacing w:after="120" w:line="360" w:lineRule="auto"/>
        <w:rPr>
          <w:rFonts w:ascii="Arial" w:hAnsi="Arial" w:cs="Arial"/>
        </w:rPr>
      </w:pPr>
      <w:r w:rsidRPr="00E0697F">
        <w:rPr>
          <w:rFonts w:ascii="Arial" w:hAnsi="Arial" w:cs="Arial"/>
        </w:rPr>
        <w:t xml:space="preserve">Prepare the analysis of the existing environmental baseline conditions; </w:t>
      </w:r>
    </w:p>
    <w:p w14:paraId="6EBC1AE2" w14:textId="77777777" w:rsidR="00D958B2" w:rsidRPr="00E0697F" w:rsidRDefault="00D958B2" w:rsidP="00AB67B9">
      <w:pPr>
        <w:numPr>
          <w:ilvl w:val="0"/>
          <w:numId w:val="21"/>
        </w:numPr>
        <w:spacing w:after="120" w:line="360" w:lineRule="auto"/>
        <w:rPr>
          <w:rFonts w:ascii="Arial" w:hAnsi="Arial" w:cs="Arial"/>
        </w:rPr>
      </w:pPr>
      <w:r w:rsidRPr="00E0697F">
        <w:rPr>
          <w:rFonts w:ascii="Arial" w:hAnsi="Arial" w:cs="Arial"/>
        </w:rPr>
        <w:t xml:space="preserve">Assess potential impacts: </w:t>
      </w:r>
    </w:p>
    <w:p w14:paraId="416053AD" w14:textId="77777777" w:rsidR="00D958B2" w:rsidRPr="00E0697F" w:rsidRDefault="00D958B2" w:rsidP="00AB67B9">
      <w:pPr>
        <w:numPr>
          <w:ilvl w:val="1"/>
          <w:numId w:val="21"/>
        </w:numPr>
        <w:spacing w:after="120" w:line="360" w:lineRule="auto"/>
        <w:rPr>
          <w:rFonts w:ascii="Arial" w:hAnsi="Arial" w:cs="Arial"/>
        </w:rPr>
      </w:pPr>
      <w:r w:rsidRPr="00E0697F">
        <w:rPr>
          <w:rFonts w:ascii="Arial" w:hAnsi="Arial" w:cs="Arial"/>
        </w:rPr>
        <w:t xml:space="preserve">positive and negative; </w:t>
      </w:r>
    </w:p>
    <w:p w14:paraId="2776EC31" w14:textId="77777777" w:rsidR="00D958B2" w:rsidRPr="00E0697F" w:rsidRDefault="00D958B2" w:rsidP="00AB67B9">
      <w:pPr>
        <w:numPr>
          <w:ilvl w:val="1"/>
          <w:numId w:val="21"/>
        </w:numPr>
        <w:spacing w:after="120" w:line="360" w:lineRule="auto"/>
        <w:rPr>
          <w:rFonts w:ascii="Arial" w:hAnsi="Arial" w:cs="Arial"/>
        </w:rPr>
      </w:pPr>
      <w:r w:rsidRPr="00E0697F">
        <w:rPr>
          <w:rFonts w:ascii="Arial" w:hAnsi="Arial" w:cs="Arial"/>
        </w:rPr>
        <w:t xml:space="preserve">direct and indirect; </w:t>
      </w:r>
    </w:p>
    <w:p w14:paraId="184FCD33" w14:textId="77777777" w:rsidR="00D958B2" w:rsidRPr="00E0697F" w:rsidRDefault="00D958B2" w:rsidP="00AB67B9">
      <w:pPr>
        <w:numPr>
          <w:ilvl w:val="1"/>
          <w:numId w:val="21"/>
        </w:numPr>
        <w:spacing w:after="120" w:line="360" w:lineRule="auto"/>
        <w:rPr>
          <w:rFonts w:ascii="Arial" w:hAnsi="Arial" w:cs="Arial"/>
        </w:rPr>
      </w:pPr>
      <w:r w:rsidRPr="00E0697F">
        <w:rPr>
          <w:rFonts w:ascii="Arial" w:hAnsi="Arial" w:cs="Arial"/>
        </w:rPr>
        <w:t xml:space="preserve">cumulative and synergistic; </w:t>
      </w:r>
    </w:p>
    <w:p w14:paraId="487FD63F" w14:textId="77777777" w:rsidR="00D958B2" w:rsidRPr="00E0697F" w:rsidRDefault="00D958B2" w:rsidP="00AB67B9">
      <w:pPr>
        <w:numPr>
          <w:ilvl w:val="1"/>
          <w:numId w:val="21"/>
        </w:numPr>
        <w:spacing w:after="120" w:line="360" w:lineRule="auto"/>
        <w:rPr>
          <w:rFonts w:ascii="Arial" w:hAnsi="Arial" w:cs="Arial"/>
        </w:rPr>
      </w:pPr>
      <w:r w:rsidRPr="00E0697F">
        <w:rPr>
          <w:rFonts w:ascii="Arial" w:hAnsi="Arial" w:cs="Arial"/>
        </w:rPr>
        <w:t xml:space="preserve">short-term, medium-term, and long-term; </w:t>
      </w:r>
    </w:p>
    <w:p w14:paraId="6B4B1BFB" w14:textId="77777777" w:rsidR="00D958B2" w:rsidRPr="00E0697F" w:rsidRDefault="00D958B2" w:rsidP="00AB67B9">
      <w:pPr>
        <w:numPr>
          <w:ilvl w:val="0"/>
          <w:numId w:val="21"/>
        </w:numPr>
        <w:spacing w:after="120" w:line="360" w:lineRule="auto"/>
        <w:rPr>
          <w:rFonts w:ascii="Arial" w:hAnsi="Arial" w:cs="Arial"/>
        </w:rPr>
      </w:pPr>
      <w:proofErr w:type="spellStart"/>
      <w:r w:rsidRPr="00E0697F">
        <w:rPr>
          <w:rFonts w:ascii="Arial" w:hAnsi="Arial" w:cs="Arial"/>
        </w:rPr>
        <w:t>Analyze</w:t>
      </w:r>
      <w:proofErr w:type="spellEnd"/>
      <w:r w:rsidRPr="00E0697F">
        <w:rPr>
          <w:rFonts w:ascii="Arial" w:hAnsi="Arial" w:cs="Arial"/>
        </w:rPr>
        <w:t xml:space="preserve"> the “no implementation” alternative and strategic alternatives; </w:t>
      </w:r>
    </w:p>
    <w:p w14:paraId="3B7D5802" w14:textId="77777777" w:rsidR="00D958B2" w:rsidRPr="00E0697F" w:rsidRDefault="00D958B2" w:rsidP="00AB67B9">
      <w:pPr>
        <w:numPr>
          <w:ilvl w:val="0"/>
          <w:numId w:val="21"/>
        </w:numPr>
        <w:spacing w:after="120" w:line="360" w:lineRule="auto"/>
        <w:rPr>
          <w:rFonts w:ascii="Arial" w:hAnsi="Arial" w:cs="Arial"/>
        </w:rPr>
      </w:pPr>
      <w:r w:rsidRPr="00E0697F">
        <w:rPr>
          <w:rFonts w:ascii="Arial" w:hAnsi="Arial" w:cs="Arial"/>
        </w:rPr>
        <w:t xml:space="preserve">Propose mitigation and monitoring measures; </w:t>
      </w:r>
    </w:p>
    <w:p w14:paraId="52A606E3" w14:textId="77777777" w:rsidR="00D958B2" w:rsidRPr="00E0697F" w:rsidRDefault="00D958B2" w:rsidP="00AB67B9">
      <w:pPr>
        <w:numPr>
          <w:ilvl w:val="0"/>
          <w:numId w:val="21"/>
        </w:numPr>
        <w:spacing w:after="120" w:line="360" w:lineRule="auto"/>
        <w:rPr>
          <w:rFonts w:ascii="Arial" w:hAnsi="Arial" w:cs="Arial"/>
        </w:rPr>
      </w:pPr>
      <w:r w:rsidRPr="00E0697F">
        <w:rPr>
          <w:rFonts w:ascii="Arial" w:hAnsi="Arial" w:cs="Arial"/>
        </w:rPr>
        <w:t xml:space="preserve">Support the public and institutional consultation process; </w:t>
      </w:r>
    </w:p>
    <w:p w14:paraId="01B141C5" w14:textId="73673227" w:rsidR="00B40452" w:rsidRPr="00E0697F" w:rsidRDefault="00D958B2" w:rsidP="00AB67B9">
      <w:pPr>
        <w:numPr>
          <w:ilvl w:val="0"/>
          <w:numId w:val="21"/>
        </w:numPr>
        <w:spacing w:after="120" w:line="360" w:lineRule="auto"/>
        <w:rPr>
          <w:rFonts w:ascii="Arial" w:hAnsi="Arial" w:cs="Arial"/>
        </w:rPr>
      </w:pPr>
      <w:r w:rsidRPr="71D88B05">
        <w:rPr>
          <w:rFonts w:ascii="Arial" w:hAnsi="Arial" w:cs="Arial"/>
        </w:rPr>
        <w:t>Prepare the Final</w:t>
      </w:r>
      <w:r w:rsidR="28C533B5" w:rsidRPr="71D88B05">
        <w:rPr>
          <w:rFonts w:ascii="Arial" w:hAnsi="Arial" w:cs="Arial"/>
        </w:rPr>
        <w:t xml:space="preserve"> draft of</w:t>
      </w:r>
      <w:r w:rsidRPr="71D88B05">
        <w:rPr>
          <w:rFonts w:ascii="Arial" w:hAnsi="Arial" w:cs="Arial"/>
        </w:rPr>
        <w:t xml:space="preserve"> SEA Report</w:t>
      </w:r>
      <w:r w:rsidR="0803286E" w:rsidRPr="71D88B05">
        <w:rPr>
          <w:rFonts w:ascii="Arial" w:hAnsi="Arial" w:cs="Arial"/>
        </w:rPr>
        <w:t xml:space="preserve"> to be further channelled into national approval procedures</w:t>
      </w:r>
      <w:r w:rsidRPr="71D88B05">
        <w:rPr>
          <w:rFonts w:ascii="Arial" w:hAnsi="Arial" w:cs="Arial"/>
        </w:rPr>
        <w:t xml:space="preserve">. </w:t>
      </w:r>
    </w:p>
    <w:p w14:paraId="03D119FD" w14:textId="77777777" w:rsidR="00B40452" w:rsidRPr="00E0697F" w:rsidRDefault="00B40452" w:rsidP="00AB67B9">
      <w:pPr>
        <w:spacing w:after="120" w:line="360" w:lineRule="auto"/>
        <w:rPr>
          <w:rFonts w:ascii="Arial" w:hAnsi="Arial" w:cs="Arial"/>
        </w:rPr>
      </w:pPr>
    </w:p>
    <w:p w14:paraId="6830112A" w14:textId="0E5F304C" w:rsidR="00FA3283" w:rsidRPr="00E0697F" w:rsidRDefault="00FA3283" w:rsidP="00AB67B9">
      <w:pPr>
        <w:spacing w:after="120" w:line="360" w:lineRule="auto"/>
        <w:rPr>
          <w:rFonts w:ascii="Arial" w:hAnsi="Arial" w:cs="Arial"/>
        </w:rPr>
      </w:pPr>
      <w:r w:rsidRPr="00E0697F">
        <w:rPr>
          <w:rFonts w:ascii="Arial" w:hAnsi="Arial" w:cs="Arial"/>
        </w:rPr>
        <w:t>Main References (but not limited too) for this assignment will be:</w:t>
      </w:r>
    </w:p>
    <w:p w14:paraId="6C889FDD" w14:textId="77777777" w:rsidR="00E671E0" w:rsidRPr="00E0697F" w:rsidRDefault="00E671E0" w:rsidP="00AB67B9">
      <w:pPr>
        <w:numPr>
          <w:ilvl w:val="0"/>
          <w:numId w:val="43"/>
        </w:numPr>
        <w:spacing w:after="120" w:line="360" w:lineRule="auto"/>
        <w:rPr>
          <w:rFonts w:ascii="Arial" w:hAnsi="Arial" w:cs="Arial"/>
        </w:rPr>
      </w:pPr>
      <w:r w:rsidRPr="00E0697F">
        <w:rPr>
          <w:rFonts w:ascii="Arial" w:hAnsi="Arial" w:cs="Arial"/>
        </w:rPr>
        <w:t xml:space="preserve">Transport Sector Strategy and Action Plan 2030 </w:t>
      </w:r>
    </w:p>
    <w:p w14:paraId="5069E0D0" w14:textId="77777777" w:rsidR="00E671E0" w:rsidRPr="00E0697F" w:rsidRDefault="00E671E0" w:rsidP="00AB67B9">
      <w:pPr>
        <w:numPr>
          <w:ilvl w:val="0"/>
          <w:numId w:val="43"/>
        </w:numPr>
        <w:spacing w:after="120" w:line="360" w:lineRule="auto"/>
        <w:rPr>
          <w:rFonts w:ascii="Arial" w:hAnsi="Arial" w:cs="Arial"/>
        </w:rPr>
      </w:pPr>
      <w:r w:rsidRPr="00E0697F">
        <w:rPr>
          <w:rFonts w:ascii="Arial" w:hAnsi="Arial" w:cs="Arial"/>
        </w:rPr>
        <w:t xml:space="preserve">Law No. 91/2013 “On Strategic Environmental Assessment” </w:t>
      </w:r>
      <w:r w:rsidRPr="008A0F1D">
        <w:rPr>
          <w:rFonts w:ascii="Arial" w:hAnsi="Arial" w:cs="Arial"/>
        </w:rPr>
        <w:t xml:space="preserve">https://qbz.gov.al/eli/ligj/2013/02/28/91-2013 </w:t>
      </w:r>
      <w:hyperlink r:id="rId11" w:history="1">
        <w:r w:rsidRPr="00B85350">
          <w:rPr>
            <w:rStyle w:val="Hyperlink"/>
            <w:rFonts w:ascii="Arial" w:hAnsi="Arial" w:cs="Arial"/>
          </w:rPr>
          <w:t>https://www.fao.org/faolex/results/details/en/c/LEX-FAOC137775</w:t>
        </w:r>
      </w:hyperlink>
      <w:r>
        <w:rPr>
          <w:rFonts w:ascii="Arial" w:hAnsi="Arial" w:cs="Arial"/>
        </w:rPr>
        <w:t xml:space="preserve"> </w:t>
      </w:r>
    </w:p>
    <w:p w14:paraId="32D28316" w14:textId="77777777" w:rsidR="00B4519A" w:rsidRDefault="00E671E0" w:rsidP="00AB67B9">
      <w:pPr>
        <w:numPr>
          <w:ilvl w:val="0"/>
          <w:numId w:val="43"/>
        </w:numPr>
        <w:spacing w:after="120" w:line="360" w:lineRule="auto"/>
        <w:rPr>
          <w:rFonts w:ascii="Arial" w:hAnsi="Arial" w:cs="Arial"/>
        </w:rPr>
      </w:pPr>
      <w:r w:rsidRPr="00E0697F">
        <w:rPr>
          <w:rFonts w:ascii="Arial" w:hAnsi="Arial" w:cs="Arial"/>
        </w:rPr>
        <w:t>CMD No. 219, dated 11.03.2015</w:t>
      </w:r>
    </w:p>
    <w:p w14:paraId="08E26B66" w14:textId="2991DAA5" w:rsidR="00E671E0" w:rsidRDefault="00E671E0" w:rsidP="00AB67B9">
      <w:pPr>
        <w:spacing w:after="120" w:line="360" w:lineRule="auto"/>
        <w:ind w:left="720"/>
        <w:rPr>
          <w:rFonts w:ascii="Arial" w:hAnsi="Arial" w:cs="Arial"/>
        </w:rPr>
      </w:pPr>
      <w:r>
        <w:rPr>
          <w:rFonts w:ascii="Arial" w:hAnsi="Arial" w:cs="Arial"/>
        </w:rPr>
        <w:lastRenderedPageBreak/>
        <w:t xml:space="preserve"> </w:t>
      </w:r>
      <w:hyperlink r:id="rId12" w:history="1">
        <w:r w:rsidR="003C1665" w:rsidRPr="00F261A5">
          <w:rPr>
            <w:rStyle w:val="Hyperlink"/>
            <w:rFonts w:ascii="Arial" w:hAnsi="Arial" w:cs="Arial"/>
          </w:rPr>
          <w:t>https://qbz.gov.al/eli/vendim/2015/03/11/219/53377912-a59b-495a-9c3b-a244912bd50c;q=VKM%20219%20%E2%80%93%202015%20Konsultimi%20publik%20ne%20procesin%20e%20VSM</w:t>
        </w:r>
      </w:hyperlink>
    </w:p>
    <w:p w14:paraId="713EE7BE" w14:textId="1E76CD42" w:rsidR="00E671E0" w:rsidRDefault="00E671E0" w:rsidP="00AB67B9">
      <w:pPr>
        <w:numPr>
          <w:ilvl w:val="0"/>
          <w:numId w:val="43"/>
        </w:numPr>
        <w:spacing w:after="120" w:line="360" w:lineRule="auto"/>
        <w:rPr>
          <w:rFonts w:ascii="Arial" w:hAnsi="Arial" w:cs="Arial"/>
        </w:rPr>
      </w:pPr>
      <w:r w:rsidRPr="00E0697F">
        <w:rPr>
          <w:rFonts w:ascii="Arial" w:hAnsi="Arial" w:cs="Arial"/>
        </w:rPr>
        <w:t xml:space="preserve">CMD No. 507, dated 10.06.2015 </w:t>
      </w:r>
    </w:p>
    <w:p w14:paraId="5CC9CA7C" w14:textId="6AE9A926" w:rsidR="00423FBC" w:rsidRDefault="003C1665" w:rsidP="00AB67B9">
      <w:pPr>
        <w:spacing w:after="120" w:line="360" w:lineRule="auto"/>
        <w:ind w:left="720"/>
        <w:rPr>
          <w:rFonts w:ascii="Arial" w:hAnsi="Arial" w:cs="Arial"/>
        </w:rPr>
      </w:pPr>
      <w:hyperlink r:id="rId13" w:history="1">
        <w:r w:rsidRPr="00F261A5">
          <w:rPr>
            <w:rStyle w:val="Hyperlink"/>
            <w:rFonts w:ascii="Arial" w:hAnsi="Arial" w:cs="Arial"/>
          </w:rPr>
          <w:t>https://qbz.gov.al/eli/vendim/2015/06/10/507/9b131a7c-2589-4f81-8437-8a499588bbc4;q=VKM%20507%20%E2%80%93%202015%20Lista%20e%20planeve%20dhe%20programeve%20qe%20i%20nenshtrohen%20VSM</w:t>
        </w:r>
      </w:hyperlink>
    </w:p>
    <w:p w14:paraId="154D4D00" w14:textId="77777777" w:rsidR="00E671E0" w:rsidRDefault="00E671E0" w:rsidP="00AB67B9">
      <w:pPr>
        <w:numPr>
          <w:ilvl w:val="0"/>
          <w:numId w:val="43"/>
        </w:numPr>
        <w:spacing w:after="120" w:line="360" w:lineRule="auto"/>
        <w:rPr>
          <w:rFonts w:ascii="Arial" w:hAnsi="Arial" w:cs="Arial"/>
        </w:rPr>
      </w:pPr>
      <w:r w:rsidRPr="00E0697F">
        <w:rPr>
          <w:rFonts w:ascii="Arial" w:hAnsi="Arial" w:cs="Arial"/>
        </w:rPr>
        <w:t xml:space="preserve">Directive 2001/42/EC </w:t>
      </w:r>
    </w:p>
    <w:p w14:paraId="268F98DC" w14:textId="757B47A6" w:rsidR="00675B45" w:rsidRDefault="00675B45" w:rsidP="003C1665">
      <w:pPr>
        <w:spacing w:after="120" w:line="360" w:lineRule="auto"/>
        <w:ind w:left="720"/>
        <w:rPr>
          <w:rFonts w:ascii="Arial" w:hAnsi="Arial" w:cs="Arial"/>
        </w:rPr>
      </w:pPr>
      <w:hyperlink r:id="rId14" w:history="1">
        <w:r w:rsidRPr="00F261A5">
          <w:rPr>
            <w:rStyle w:val="Hyperlink"/>
            <w:rFonts w:ascii="Arial" w:hAnsi="Arial" w:cs="Arial"/>
          </w:rPr>
          <w:t>https://eur-lex.europa.eu/legal-content/EN/TXT/PDF/?uri=CELEX:32001L0042</w:t>
        </w:r>
      </w:hyperlink>
    </w:p>
    <w:p w14:paraId="1E3898DB" w14:textId="7C4CBA2F" w:rsidR="00675B45" w:rsidRDefault="00E671E0" w:rsidP="00675B45">
      <w:pPr>
        <w:numPr>
          <w:ilvl w:val="0"/>
          <w:numId w:val="43"/>
        </w:numPr>
        <w:spacing w:after="120" w:line="360" w:lineRule="auto"/>
        <w:rPr>
          <w:rFonts w:ascii="Arial" w:hAnsi="Arial" w:cs="Arial"/>
        </w:rPr>
      </w:pPr>
      <w:r w:rsidRPr="00E0697F">
        <w:rPr>
          <w:rFonts w:ascii="Arial" w:hAnsi="Arial" w:cs="Arial"/>
        </w:rPr>
        <w:t>Kiev Protocol on SEA</w:t>
      </w:r>
    </w:p>
    <w:p w14:paraId="7AA8CBC3" w14:textId="5B406DE1" w:rsidR="00E671E0" w:rsidRDefault="00E671E0" w:rsidP="00AB67B9">
      <w:pPr>
        <w:spacing w:after="120" w:line="360" w:lineRule="auto"/>
        <w:ind w:left="720"/>
        <w:rPr>
          <w:rFonts w:ascii="Arial" w:hAnsi="Arial" w:cs="Arial"/>
        </w:rPr>
      </w:pPr>
      <w:r w:rsidRPr="00E0697F">
        <w:rPr>
          <w:rFonts w:ascii="Arial" w:hAnsi="Arial" w:cs="Arial"/>
        </w:rPr>
        <w:t xml:space="preserve"> </w:t>
      </w:r>
      <w:hyperlink r:id="rId15" w:history="1">
        <w:r w:rsidR="00675B45" w:rsidRPr="00F261A5">
          <w:rPr>
            <w:rStyle w:val="Hyperlink"/>
            <w:rFonts w:ascii="Arial" w:hAnsi="Arial" w:cs="Arial"/>
          </w:rPr>
          <w:t>https://unece.org/DAM/env/eia/documents/legaltexts/protocolenglish.pdf</w:t>
        </w:r>
      </w:hyperlink>
    </w:p>
    <w:bookmarkEnd w:id="3"/>
    <w:p w14:paraId="64CA1305" w14:textId="77777777" w:rsidR="009D40D6" w:rsidRPr="00E0697F" w:rsidRDefault="009D40D6" w:rsidP="00AB67B9">
      <w:pPr>
        <w:spacing w:after="120" w:line="360" w:lineRule="auto"/>
        <w:rPr>
          <w:rFonts w:ascii="Arial" w:hAnsi="Arial" w:cs="Arial"/>
        </w:rPr>
      </w:pPr>
    </w:p>
    <w:p w14:paraId="56AD5154" w14:textId="5F8411EA" w:rsidR="00617784" w:rsidRPr="00E0697F" w:rsidRDefault="00617784" w:rsidP="00CC7F1E">
      <w:pPr>
        <w:pStyle w:val="ListParagraph"/>
        <w:numPr>
          <w:ilvl w:val="0"/>
          <w:numId w:val="1"/>
        </w:numPr>
        <w:spacing w:after="120" w:line="360" w:lineRule="auto"/>
        <w:ind w:left="567" w:hanging="567"/>
        <w:contextualSpacing w:val="0"/>
        <w:jc w:val="both"/>
        <w:rPr>
          <w:rFonts w:ascii="Arial" w:hAnsi="Arial" w:cs="Arial"/>
          <w:b/>
          <w:bCs/>
        </w:rPr>
      </w:pPr>
      <w:r w:rsidRPr="00E0697F">
        <w:rPr>
          <w:rFonts w:ascii="Arial" w:hAnsi="Arial" w:cs="Arial"/>
          <w:b/>
          <w:bCs/>
        </w:rPr>
        <w:t>Scope of work</w:t>
      </w:r>
      <w:r w:rsidR="00E77172" w:rsidRPr="00E0697F">
        <w:rPr>
          <w:rFonts w:ascii="Arial" w:hAnsi="Arial" w:cs="Arial"/>
          <w:b/>
          <w:bCs/>
        </w:rPr>
        <w:t xml:space="preserve"> </w:t>
      </w:r>
    </w:p>
    <w:p w14:paraId="28E3A76D" w14:textId="62E97A6E" w:rsidR="009B0C70" w:rsidRPr="00E0697F" w:rsidRDefault="00BA25FD" w:rsidP="00CC7F1E">
      <w:pPr>
        <w:spacing w:after="120" w:line="360" w:lineRule="auto"/>
        <w:jc w:val="both"/>
        <w:rPr>
          <w:rFonts w:ascii="Arial" w:hAnsi="Arial" w:cs="Arial"/>
        </w:rPr>
      </w:pPr>
      <w:r w:rsidRPr="00E0697F">
        <w:rPr>
          <w:rFonts w:ascii="Arial" w:hAnsi="Arial" w:cs="Arial"/>
        </w:rPr>
        <w:t xml:space="preserve">The </w:t>
      </w:r>
      <w:r w:rsidR="009D40D6">
        <w:rPr>
          <w:rFonts w:ascii="Arial" w:hAnsi="Arial" w:cs="Arial"/>
        </w:rPr>
        <w:t>locally contracted expert</w:t>
      </w:r>
      <w:r w:rsidRPr="00E0697F">
        <w:rPr>
          <w:rFonts w:ascii="Arial" w:hAnsi="Arial" w:cs="Arial"/>
        </w:rPr>
        <w:t xml:space="preserve"> shall work closely with the national </w:t>
      </w:r>
      <w:r w:rsidR="00D958B2" w:rsidRPr="00E0697F">
        <w:rPr>
          <w:rFonts w:ascii="Arial" w:hAnsi="Arial" w:cs="Arial"/>
        </w:rPr>
        <w:t>authorities</w:t>
      </w:r>
      <w:r w:rsidRPr="00E0697F">
        <w:rPr>
          <w:rFonts w:ascii="Arial" w:hAnsi="Arial" w:cs="Arial"/>
        </w:rPr>
        <w:t>, and other relevant bodies to undertake the following tasks:</w:t>
      </w:r>
    </w:p>
    <w:p w14:paraId="18682D70" w14:textId="59146037" w:rsidR="003A72E2" w:rsidRPr="00E0697F" w:rsidRDefault="003A72E2" w:rsidP="00AB67B9">
      <w:pPr>
        <w:spacing w:after="120" w:line="360" w:lineRule="auto"/>
        <w:rPr>
          <w:rFonts w:ascii="Arial" w:hAnsi="Arial" w:cs="Arial"/>
          <w:b/>
          <w:bCs/>
        </w:rPr>
      </w:pPr>
      <w:r w:rsidRPr="00E0697F">
        <w:rPr>
          <w:rFonts w:ascii="Arial" w:hAnsi="Arial" w:cs="Arial"/>
          <w:b/>
          <w:bCs/>
        </w:rPr>
        <w:t>Task 1 – Review of Documents and Legal Framework</w:t>
      </w:r>
    </w:p>
    <w:p w14:paraId="6FA3E2CC" w14:textId="606397A8" w:rsidR="003A72E2" w:rsidRPr="00E0697F" w:rsidRDefault="003A72E2" w:rsidP="00AB67B9">
      <w:pPr>
        <w:spacing w:after="120" w:line="360" w:lineRule="auto"/>
        <w:rPr>
          <w:rFonts w:ascii="Arial" w:hAnsi="Arial" w:cs="Arial"/>
        </w:rPr>
      </w:pPr>
      <w:r w:rsidRPr="00E0697F">
        <w:rPr>
          <w:rFonts w:ascii="Arial" w:hAnsi="Arial" w:cs="Arial"/>
        </w:rPr>
        <w:t xml:space="preserve">The </w:t>
      </w:r>
      <w:r w:rsidR="009D40D6">
        <w:rPr>
          <w:rFonts w:ascii="Arial" w:hAnsi="Arial" w:cs="Arial"/>
        </w:rPr>
        <w:t xml:space="preserve">locally contracted expert </w:t>
      </w:r>
      <w:r w:rsidRPr="00E0697F">
        <w:rPr>
          <w:rFonts w:ascii="Arial" w:hAnsi="Arial" w:cs="Arial"/>
        </w:rPr>
        <w:t xml:space="preserve">shall </w:t>
      </w:r>
      <w:proofErr w:type="spellStart"/>
      <w:r w:rsidRPr="00E0697F">
        <w:rPr>
          <w:rFonts w:ascii="Arial" w:hAnsi="Arial" w:cs="Arial"/>
        </w:rPr>
        <w:t>analyze</w:t>
      </w:r>
      <w:proofErr w:type="spellEnd"/>
      <w:r w:rsidRPr="00E0697F">
        <w:rPr>
          <w:rFonts w:ascii="Arial" w:hAnsi="Arial" w:cs="Arial"/>
        </w:rPr>
        <w:t>:</w:t>
      </w:r>
    </w:p>
    <w:p w14:paraId="7D40A664" w14:textId="77777777" w:rsidR="003A72E2" w:rsidRPr="00E0697F" w:rsidRDefault="003A72E2" w:rsidP="00AB67B9">
      <w:pPr>
        <w:numPr>
          <w:ilvl w:val="0"/>
          <w:numId w:val="22"/>
        </w:numPr>
        <w:spacing w:after="120" w:line="360" w:lineRule="auto"/>
        <w:rPr>
          <w:rFonts w:ascii="Arial" w:hAnsi="Arial" w:cs="Arial"/>
        </w:rPr>
      </w:pPr>
      <w:r w:rsidRPr="00E0697F">
        <w:rPr>
          <w:rFonts w:ascii="Arial" w:hAnsi="Arial" w:cs="Arial"/>
        </w:rPr>
        <w:t xml:space="preserve">the Transport Sector Strategy and Action Plan 2030; </w:t>
      </w:r>
    </w:p>
    <w:p w14:paraId="343C34F4" w14:textId="77777777" w:rsidR="003A72E2" w:rsidRPr="00E0697F" w:rsidRDefault="003A72E2" w:rsidP="00AB67B9">
      <w:pPr>
        <w:numPr>
          <w:ilvl w:val="0"/>
          <w:numId w:val="22"/>
        </w:numPr>
        <w:spacing w:after="120" w:line="360" w:lineRule="auto"/>
        <w:rPr>
          <w:rFonts w:ascii="Arial" w:hAnsi="Arial" w:cs="Arial"/>
        </w:rPr>
      </w:pPr>
      <w:r w:rsidRPr="00E0697F">
        <w:rPr>
          <w:rFonts w:ascii="Arial" w:hAnsi="Arial" w:cs="Arial"/>
        </w:rPr>
        <w:t xml:space="preserve">the Albanian legal framework on environment and transport; </w:t>
      </w:r>
    </w:p>
    <w:p w14:paraId="04C83A67" w14:textId="77777777" w:rsidR="003A72E2" w:rsidRPr="00E0697F" w:rsidRDefault="003A72E2" w:rsidP="00AB67B9">
      <w:pPr>
        <w:numPr>
          <w:ilvl w:val="0"/>
          <w:numId w:val="22"/>
        </w:numPr>
        <w:spacing w:after="120" w:line="360" w:lineRule="auto"/>
        <w:rPr>
          <w:rFonts w:ascii="Arial" w:hAnsi="Arial" w:cs="Arial"/>
        </w:rPr>
      </w:pPr>
      <w:r w:rsidRPr="00E0697F">
        <w:rPr>
          <w:rFonts w:ascii="Arial" w:hAnsi="Arial" w:cs="Arial"/>
        </w:rPr>
        <w:t xml:space="preserve">the European Union acquis; </w:t>
      </w:r>
    </w:p>
    <w:p w14:paraId="10753905" w14:textId="77777777" w:rsidR="003A72E2" w:rsidRPr="00E0697F" w:rsidRDefault="003A72E2" w:rsidP="00AB67B9">
      <w:pPr>
        <w:numPr>
          <w:ilvl w:val="0"/>
          <w:numId w:val="22"/>
        </w:numPr>
        <w:spacing w:after="120" w:line="360" w:lineRule="auto"/>
        <w:rPr>
          <w:rFonts w:ascii="Arial" w:hAnsi="Arial" w:cs="Arial"/>
        </w:rPr>
      </w:pPr>
      <w:r w:rsidRPr="00E0697F">
        <w:rPr>
          <w:rFonts w:ascii="Arial" w:hAnsi="Arial" w:cs="Arial"/>
        </w:rPr>
        <w:t xml:space="preserve">national and sectoral strategic documents; </w:t>
      </w:r>
    </w:p>
    <w:p w14:paraId="7C191FBF" w14:textId="77777777" w:rsidR="003A72E2" w:rsidRPr="00E0697F" w:rsidRDefault="003A72E2" w:rsidP="00AB67B9">
      <w:pPr>
        <w:numPr>
          <w:ilvl w:val="0"/>
          <w:numId w:val="22"/>
        </w:numPr>
        <w:spacing w:after="120" w:line="360" w:lineRule="auto"/>
        <w:rPr>
          <w:rFonts w:ascii="Arial" w:hAnsi="Arial" w:cs="Arial"/>
        </w:rPr>
      </w:pPr>
      <w:r w:rsidRPr="00E0697F">
        <w:rPr>
          <w:rFonts w:ascii="Arial" w:hAnsi="Arial" w:cs="Arial"/>
        </w:rPr>
        <w:t xml:space="preserve">TEN-T documents; </w:t>
      </w:r>
    </w:p>
    <w:p w14:paraId="6AE3E5A9" w14:textId="77777777" w:rsidR="003A72E2" w:rsidRPr="00E0697F" w:rsidRDefault="003A72E2" w:rsidP="00AB67B9">
      <w:pPr>
        <w:numPr>
          <w:ilvl w:val="0"/>
          <w:numId w:val="22"/>
        </w:numPr>
        <w:spacing w:after="120" w:line="360" w:lineRule="auto"/>
        <w:rPr>
          <w:rFonts w:ascii="Arial" w:hAnsi="Arial" w:cs="Arial"/>
        </w:rPr>
      </w:pPr>
      <w:r w:rsidRPr="00E0697F">
        <w:rPr>
          <w:rFonts w:ascii="Arial" w:hAnsi="Arial" w:cs="Arial"/>
        </w:rPr>
        <w:t xml:space="preserve">climate change documents; </w:t>
      </w:r>
    </w:p>
    <w:p w14:paraId="43EE673A" w14:textId="77777777" w:rsidR="003A72E2" w:rsidRPr="00E0697F" w:rsidRDefault="003A72E2" w:rsidP="00AB67B9">
      <w:pPr>
        <w:numPr>
          <w:ilvl w:val="0"/>
          <w:numId w:val="22"/>
        </w:numPr>
        <w:spacing w:after="120" w:line="360" w:lineRule="auto"/>
        <w:rPr>
          <w:rFonts w:ascii="Arial" w:hAnsi="Arial" w:cs="Arial"/>
        </w:rPr>
      </w:pPr>
      <w:r w:rsidRPr="00E0697F">
        <w:rPr>
          <w:rFonts w:ascii="Arial" w:hAnsi="Arial" w:cs="Arial"/>
        </w:rPr>
        <w:t xml:space="preserve">biodiversity, air quality, and energy strategies; </w:t>
      </w:r>
    </w:p>
    <w:p w14:paraId="2BFAE607" w14:textId="77777777" w:rsidR="003A72E2" w:rsidRPr="00E0697F" w:rsidRDefault="003A72E2" w:rsidP="00AB67B9">
      <w:pPr>
        <w:numPr>
          <w:ilvl w:val="0"/>
          <w:numId w:val="22"/>
        </w:numPr>
        <w:spacing w:after="120" w:line="360" w:lineRule="auto"/>
        <w:rPr>
          <w:rFonts w:ascii="Arial" w:hAnsi="Arial" w:cs="Arial"/>
        </w:rPr>
      </w:pPr>
      <w:r w:rsidRPr="00E0697F">
        <w:rPr>
          <w:rFonts w:ascii="Arial" w:hAnsi="Arial" w:cs="Arial"/>
        </w:rPr>
        <w:t xml:space="preserve">relevant national and territorial plans. </w:t>
      </w:r>
    </w:p>
    <w:p w14:paraId="535758BC" w14:textId="1F51A0D1" w:rsidR="003A72E2" w:rsidRPr="00E0697F" w:rsidRDefault="003A72E2" w:rsidP="00AB67B9">
      <w:pPr>
        <w:spacing w:after="120" w:line="360" w:lineRule="auto"/>
        <w:rPr>
          <w:rFonts w:ascii="Arial" w:hAnsi="Arial" w:cs="Arial"/>
          <w:b/>
          <w:bCs/>
        </w:rPr>
      </w:pPr>
      <w:r w:rsidRPr="00E0697F">
        <w:rPr>
          <w:rFonts w:ascii="Arial" w:hAnsi="Arial" w:cs="Arial"/>
          <w:b/>
          <w:bCs/>
        </w:rPr>
        <w:t>Task 2 – SEA Scoping</w:t>
      </w:r>
    </w:p>
    <w:p w14:paraId="58F3F4FE" w14:textId="67BDF4E6" w:rsidR="003A72E2" w:rsidRPr="00E0697F" w:rsidRDefault="003A72E2" w:rsidP="00AB67B9">
      <w:pPr>
        <w:spacing w:after="120" w:line="360" w:lineRule="auto"/>
        <w:rPr>
          <w:rFonts w:ascii="Arial" w:hAnsi="Arial" w:cs="Arial"/>
        </w:rPr>
      </w:pPr>
      <w:r w:rsidRPr="00E0697F">
        <w:rPr>
          <w:rFonts w:ascii="Arial" w:hAnsi="Arial" w:cs="Arial"/>
        </w:rPr>
        <w:lastRenderedPageBreak/>
        <w:t xml:space="preserve">The </w:t>
      </w:r>
      <w:r w:rsidR="009D40D6">
        <w:rPr>
          <w:rFonts w:ascii="Arial" w:hAnsi="Arial" w:cs="Arial"/>
        </w:rPr>
        <w:t xml:space="preserve">locally contracted expert </w:t>
      </w:r>
      <w:r w:rsidRPr="00E0697F">
        <w:rPr>
          <w:rFonts w:ascii="Arial" w:hAnsi="Arial" w:cs="Arial"/>
        </w:rPr>
        <w:t>shall:</w:t>
      </w:r>
    </w:p>
    <w:p w14:paraId="220AA62B" w14:textId="77777777" w:rsidR="003A72E2" w:rsidRPr="00E0697F" w:rsidRDefault="003A72E2" w:rsidP="00AB67B9">
      <w:pPr>
        <w:numPr>
          <w:ilvl w:val="0"/>
          <w:numId w:val="23"/>
        </w:numPr>
        <w:spacing w:after="120" w:line="360" w:lineRule="auto"/>
        <w:rPr>
          <w:rFonts w:ascii="Arial" w:hAnsi="Arial" w:cs="Arial"/>
        </w:rPr>
      </w:pPr>
      <w:r w:rsidRPr="00E0697F">
        <w:rPr>
          <w:rFonts w:ascii="Arial" w:hAnsi="Arial" w:cs="Arial"/>
        </w:rPr>
        <w:t xml:space="preserve">identify priority environmental and social topics; </w:t>
      </w:r>
    </w:p>
    <w:p w14:paraId="0D9576B2" w14:textId="77777777" w:rsidR="003A72E2" w:rsidRPr="00E0697F" w:rsidRDefault="003A72E2" w:rsidP="00AB67B9">
      <w:pPr>
        <w:numPr>
          <w:ilvl w:val="0"/>
          <w:numId w:val="23"/>
        </w:numPr>
        <w:spacing w:after="120" w:line="360" w:lineRule="auto"/>
        <w:rPr>
          <w:rFonts w:ascii="Arial" w:hAnsi="Arial" w:cs="Arial"/>
        </w:rPr>
      </w:pPr>
      <w:r w:rsidRPr="00E0697F">
        <w:rPr>
          <w:rFonts w:ascii="Arial" w:hAnsi="Arial" w:cs="Arial"/>
        </w:rPr>
        <w:t xml:space="preserve">define the assessment methodology; </w:t>
      </w:r>
    </w:p>
    <w:p w14:paraId="39F7518C" w14:textId="77777777" w:rsidR="003A72E2" w:rsidRPr="00E0697F" w:rsidRDefault="003A72E2" w:rsidP="00AB67B9">
      <w:pPr>
        <w:numPr>
          <w:ilvl w:val="0"/>
          <w:numId w:val="23"/>
        </w:numPr>
        <w:spacing w:after="120" w:line="360" w:lineRule="auto"/>
        <w:rPr>
          <w:rFonts w:ascii="Arial" w:hAnsi="Arial" w:cs="Arial"/>
        </w:rPr>
      </w:pPr>
      <w:r w:rsidRPr="00E0697F">
        <w:rPr>
          <w:rFonts w:ascii="Arial" w:hAnsi="Arial" w:cs="Arial"/>
        </w:rPr>
        <w:t xml:space="preserve">define environmental objectives and sub-objectives; </w:t>
      </w:r>
    </w:p>
    <w:p w14:paraId="60003B41" w14:textId="77777777" w:rsidR="003A72E2" w:rsidRPr="00E0697F" w:rsidRDefault="003A72E2" w:rsidP="00AB67B9">
      <w:pPr>
        <w:numPr>
          <w:ilvl w:val="0"/>
          <w:numId w:val="23"/>
        </w:numPr>
        <w:spacing w:after="120" w:line="360" w:lineRule="auto"/>
        <w:rPr>
          <w:rFonts w:ascii="Arial" w:hAnsi="Arial" w:cs="Arial"/>
        </w:rPr>
      </w:pPr>
      <w:r w:rsidRPr="00E0697F">
        <w:rPr>
          <w:rFonts w:ascii="Arial" w:hAnsi="Arial" w:cs="Arial"/>
        </w:rPr>
        <w:t xml:space="preserve">define assessment indicators; </w:t>
      </w:r>
    </w:p>
    <w:p w14:paraId="03EE0CD3" w14:textId="77777777" w:rsidR="003A72E2" w:rsidRPr="00E0697F" w:rsidRDefault="003A72E2" w:rsidP="00AB67B9">
      <w:pPr>
        <w:numPr>
          <w:ilvl w:val="0"/>
          <w:numId w:val="23"/>
        </w:numPr>
        <w:spacing w:after="120" w:line="360" w:lineRule="auto"/>
        <w:rPr>
          <w:rFonts w:ascii="Arial" w:hAnsi="Arial" w:cs="Arial"/>
        </w:rPr>
      </w:pPr>
      <w:r w:rsidRPr="00E0697F">
        <w:rPr>
          <w:rFonts w:ascii="Arial" w:hAnsi="Arial" w:cs="Arial"/>
        </w:rPr>
        <w:t xml:space="preserve">identify sensitive receptors; </w:t>
      </w:r>
    </w:p>
    <w:p w14:paraId="5E6EB6D1" w14:textId="77777777" w:rsidR="003A72E2" w:rsidRPr="00E0697F" w:rsidRDefault="003A72E2" w:rsidP="00AB67B9">
      <w:pPr>
        <w:numPr>
          <w:ilvl w:val="0"/>
          <w:numId w:val="23"/>
        </w:numPr>
        <w:spacing w:after="120" w:line="360" w:lineRule="auto"/>
        <w:rPr>
          <w:rFonts w:ascii="Arial" w:hAnsi="Arial" w:cs="Arial"/>
        </w:rPr>
      </w:pPr>
      <w:r w:rsidRPr="00E0697F">
        <w:rPr>
          <w:rFonts w:ascii="Arial" w:hAnsi="Arial" w:cs="Arial"/>
        </w:rPr>
        <w:t xml:space="preserve">define the needs for public and institutional consultation. </w:t>
      </w:r>
    </w:p>
    <w:p w14:paraId="58686AA8" w14:textId="77777777" w:rsidR="003A72E2" w:rsidRPr="00E0697F" w:rsidRDefault="003A72E2" w:rsidP="00AB67B9">
      <w:pPr>
        <w:spacing w:after="120" w:line="360" w:lineRule="auto"/>
        <w:rPr>
          <w:rFonts w:ascii="Arial" w:hAnsi="Arial" w:cs="Arial"/>
        </w:rPr>
      </w:pPr>
      <w:r w:rsidRPr="00E0697F">
        <w:rPr>
          <w:rFonts w:ascii="Arial" w:hAnsi="Arial" w:cs="Arial"/>
        </w:rPr>
        <w:t>The Scoping shall cover:</w:t>
      </w:r>
    </w:p>
    <w:p w14:paraId="38D09D1A"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air quality; </w:t>
      </w:r>
    </w:p>
    <w:p w14:paraId="3627C1C4"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greenhouse gases and climate change; </w:t>
      </w:r>
    </w:p>
    <w:p w14:paraId="2E415572"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noise and vibration; </w:t>
      </w:r>
    </w:p>
    <w:p w14:paraId="1B77B6B5"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biodiversity and protected areas; </w:t>
      </w:r>
    </w:p>
    <w:p w14:paraId="5AA8EB62"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landscape; </w:t>
      </w:r>
    </w:p>
    <w:p w14:paraId="1D5B0032"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land use; </w:t>
      </w:r>
    </w:p>
    <w:p w14:paraId="47233FBA"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surface water and groundwater; </w:t>
      </w:r>
    </w:p>
    <w:p w14:paraId="2E5099F0"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waste and hazardous materials; </w:t>
      </w:r>
    </w:p>
    <w:p w14:paraId="652E5E15"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cultural heritage; </w:t>
      </w:r>
    </w:p>
    <w:p w14:paraId="3EDC39EC"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public health; </w:t>
      </w:r>
    </w:p>
    <w:p w14:paraId="21A6FAF6"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road safety; </w:t>
      </w:r>
    </w:p>
    <w:p w14:paraId="1DF67C3F"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accessibility and social inclusion; </w:t>
      </w:r>
    </w:p>
    <w:p w14:paraId="14093E4D"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transboundary impacts; </w:t>
      </w:r>
    </w:p>
    <w:p w14:paraId="41A7D967" w14:textId="77777777" w:rsidR="003A72E2" w:rsidRPr="00E0697F" w:rsidRDefault="003A72E2" w:rsidP="00AB67B9">
      <w:pPr>
        <w:numPr>
          <w:ilvl w:val="0"/>
          <w:numId w:val="24"/>
        </w:numPr>
        <w:spacing w:after="120" w:line="360" w:lineRule="auto"/>
        <w:rPr>
          <w:rFonts w:ascii="Arial" w:hAnsi="Arial" w:cs="Arial"/>
        </w:rPr>
      </w:pPr>
      <w:r w:rsidRPr="00E0697F">
        <w:rPr>
          <w:rFonts w:ascii="Arial" w:hAnsi="Arial" w:cs="Arial"/>
        </w:rPr>
        <w:t xml:space="preserve">climate resilience of transport infrastructure. </w:t>
      </w:r>
    </w:p>
    <w:p w14:paraId="5F4C1E8E" w14:textId="19932E65" w:rsidR="003A72E2" w:rsidRPr="00E0697F" w:rsidRDefault="003A72E2" w:rsidP="00AB67B9">
      <w:pPr>
        <w:spacing w:after="120" w:line="360" w:lineRule="auto"/>
        <w:rPr>
          <w:rFonts w:ascii="Arial" w:hAnsi="Arial" w:cs="Arial"/>
          <w:b/>
          <w:bCs/>
        </w:rPr>
      </w:pPr>
      <w:r w:rsidRPr="00E0697F">
        <w:rPr>
          <w:rFonts w:ascii="Arial" w:hAnsi="Arial" w:cs="Arial"/>
          <w:b/>
          <w:bCs/>
        </w:rPr>
        <w:t>Task 3 – Analysis of Existing Environmental Conditions</w:t>
      </w:r>
    </w:p>
    <w:p w14:paraId="063D1B23" w14:textId="7D6918D5" w:rsidR="003A72E2" w:rsidRPr="00E0697F" w:rsidRDefault="003A72E2" w:rsidP="00AB67B9">
      <w:pPr>
        <w:spacing w:after="120" w:line="360" w:lineRule="auto"/>
        <w:rPr>
          <w:rFonts w:ascii="Arial" w:hAnsi="Arial" w:cs="Arial"/>
        </w:rPr>
      </w:pPr>
      <w:r w:rsidRPr="00E0697F">
        <w:rPr>
          <w:rFonts w:ascii="Arial" w:hAnsi="Arial" w:cs="Arial"/>
        </w:rPr>
        <w:t xml:space="preserve">The </w:t>
      </w:r>
      <w:r w:rsidR="009D40D6">
        <w:rPr>
          <w:rFonts w:ascii="Arial" w:hAnsi="Arial" w:cs="Arial"/>
        </w:rPr>
        <w:t>locally contracted expert</w:t>
      </w:r>
      <w:r w:rsidRPr="00E0697F">
        <w:rPr>
          <w:rFonts w:ascii="Arial" w:hAnsi="Arial" w:cs="Arial"/>
        </w:rPr>
        <w:t xml:space="preserve"> shall prepare the baseline analysis for:</w:t>
      </w:r>
    </w:p>
    <w:p w14:paraId="7146B041" w14:textId="77777777" w:rsidR="003A72E2" w:rsidRPr="00E0697F" w:rsidRDefault="003A72E2" w:rsidP="00AB67B9">
      <w:pPr>
        <w:numPr>
          <w:ilvl w:val="0"/>
          <w:numId w:val="25"/>
        </w:numPr>
        <w:spacing w:after="120" w:line="360" w:lineRule="auto"/>
        <w:rPr>
          <w:rFonts w:ascii="Arial" w:hAnsi="Arial" w:cs="Arial"/>
        </w:rPr>
      </w:pPr>
      <w:r w:rsidRPr="00E0697F">
        <w:rPr>
          <w:rFonts w:ascii="Arial" w:hAnsi="Arial" w:cs="Arial"/>
        </w:rPr>
        <w:t xml:space="preserve">the physical environment; </w:t>
      </w:r>
    </w:p>
    <w:p w14:paraId="3FE4A3B3" w14:textId="77777777" w:rsidR="003A72E2" w:rsidRPr="00E0697F" w:rsidRDefault="003A72E2" w:rsidP="00AB67B9">
      <w:pPr>
        <w:numPr>
          <w:ilvl w:val="0"/>
          <w:numId w:val="25"/>
        </w:numPr>
        <w:spacing w:after="120" w:line="360" w:lineRule="auto"/>
        <w:rPr>
          <w:rFonts w:ascii="Arial" w:hAnsi="Arial" w:cs="Arial"/>
        </w:rPr>
      </w:pPr>
      <w:r w:rsidRPr="00E0697F">
        <w:rPr>
          <w:rFonts w:ascii="Arial" w:hAnsi="Arial" w:cs="Arial"/>
        </w:rPr>
        <w:lastRenderedPageBreak/>
        <w:t xml:space="preserve">biodiversity; </w:t>
      </w:r>
    </w:p>
    <w:p w14:paraId="4168EE0F" w14:textId="77777777" w:rsidR="003A72E2" w:rsidRPr="00E0697F" w:rsidRDefault="003A72E2" w:rsidP="00AB67B9">
      <w:pPr>
        <w:numPr>
          <w:ilvl w:val="0"/>
          <w:numId w:val="25"/>
        </w:numPr>
        <w:spacing w:after="120" w:line="360" w:lineRule="auto"/>
        <w:rPr>
          <w:rFonts w:ascii="Arial" w:hAnsi="Arial" w:cs="Arial"/>
        </w:rPr>
      </w:pPr>
      <w:r w:rsidRPr="00E0697F">
        <w:rPr>
          <w:rFonts w:ascii="Arial" w:hAnsi="Arial" w:cs="Arial"/>
        </w:rPr>
        <w:t xml:space="preserve">the social and economic environment; </w:t>
      </w:r>
    </w:p>
    <w:p w14:paraId="71817BBB" w14:textId="77777777" w:rsidR="003A72E2" w:rsidRPr="00E0697F" w:rsidRDefault="003A72E2" w:rsidP="00AB67B9">
      <w:pPr>
        <w:numPr>
          <w:ilvl w:val="0"/>
          <w:numId w:val="25"/>
        </w:numPr>
        <w:spacing w:after="120" w:line="360" w:lineRule="auto"/>
        <w:rPr>
          <w:rFonts w:ascii="Arial" w:hAnsi="Arial" w:cs="Arial"/>
        </w:rPr>
      </w:pPr>
      <w:r w:rsidRPr="00E0697F">
        <w:rPr>
          <w:rFonts w:ascii="Arial" w:hAnsi="Arial" w:cs="Arial"/>
        </w:rPr>
        <w:t xml:space="preserve">existing transport infrastructure; </w:t>
      </w:r>
    </w:p>
    <w:p w14:paraId="0F749D50" w14:textId="77777777" w:rsidR="003A72E2" w:rsidRPr="00E0697F" w:rsidRDefault="003A72E2" w:rsidP="00AB67B9">
      <w:pPr>
        <w:numPr>
          <w:ilvl w:val="0"/>
          <w:numId w:val="25"/>
        </w:numPr>
        <w:spacing w:after="120" w:line="360" w:lineRule="auto"/>
        <w:rPr>
          <w:rFonts w:ascii="Arial" w:hAnsi="Arial" w:cs="Arial"/>
        </w:rPr>
      </w:pPr>
      <w:r w:rsidRPr="00E0697F">
        <w:rPr>
          <w:rFonts w:ascii="Arial" w:hAnsi="Arial" w:cs="Arial"/>
        </w:rPr>
        <w:t xml:space="preserve">climatic conditions and natural disaster risks. </w:t>
      </w:r>
    </w:p>
    <w:p w14:paraId="07C3BA97" w14:textId="77777777" w:rsidR="003A72E2" w:rsidRPr="00E0697F" w:rsidRDefault="003A72E2" w:rsidP="00AB67B9">
      <w:pPr>
        <w:spacing w:after="120" w:line="360" w:lineRule="auto"/>
        <w:rPr>
          <w:rFonts w:ascii="Arial" w:hAnsi="Arial" w:cs="Arial"/>
        </w:rPr>
      </w:pPr>
      <w:r w:rsidRPr="00E0697F">
        <w:rPr>
          <w:rFonts w:ascii="Arial" w:hAnsi="Arial" w:cs="Arial"/>
        </w:rPr>
        <w:t>The analysis shall be based on:</w:t>
      </w:r>
    </w:p>
    <w:p w14:paraId="7AD9F2FE" w14:textId="77777777" w:rsidR="003A72E2" w:rsidRPr="00E0697F" w:rsidRDefault="003A72E2" w:rsidP="00AB67B9">
      <w:pPr>
        <w:numPr>
          <w:ilvl w:val="0"/>
          <w:numId w:val="26"/>
        </w:numPr>
        <w:spacing w:after="120" w:line="360" w:lineRule="auto"/>
        <w:rPr>
          <w:rFonts w:ascii="Arial" w:hAnsi="Arial" w:cs="Arial"/>
        </w:rPr>
      </w:pPr>
      <w:r w:rsidRPr="00E0697F">
        <w:rPr>
          <w:rFonts w:ascii="Arial" w:hAnsi="Arial" w:cs="Arial"/>
        </w:rPr>
        <w:t xml:space="preserve">secondary data; </w:t>
      </w:r>
    </w:p>
    <w:p w14:paraId="164BE6B3" w14:textId="77777777" w:rsidR="003A72E2" w:rsidRPr="00E0697F" w:rsidRDefault="003A72E2" w:rsidP="00AB67B9">
      <w:pPr>
        <w:numPr>
          <w:ilvl w:val="0"/>
          <w:numId w:val="26"/>
        </w:numPr>
        <w:spacing w:after="120" w:line="360" w:lineRule="auto"/>
        <w:rPr>
          <w:rFonts w:ascii="Arial" w:hAnsi="Arial" w:cs="Arial"/>
        </w:rPr>
      </w:pPr>
      <w:r w:rsidRPr="00E0697F">
        <w:rPr>
          <w:rFonts w:ascii="Arial" w:hAnsi="Arial" w:cs="Arial"/>
        </w:rPr>
        <w:t xml:space="preserve">national databases; </w:t>
      </w:r>
    </w:p>
    <w:p w14:paraId="78DE0E35" w14:textId="77777777" w:rsidR="003A72E2" w:rsidRPr="00E0697F" w:rsidRDefault="003A72E2" w:rsidP="00AB67B9">
      <w:pPr>
        <w:numPr>
          <w:ilvl w:val="0"/>
          <w:numId w:val="26"/>
        </w:numPr>
        <w:spacing w:after="120" w:line="360" w:lineRule="auto"/>
        <w:rPr>
          <w:rFonts w:ascii="Arial" w:hAnsi="Arial" w:cs="Arial"/>
        </w:rPr>
      </w:pPr>
      <w:r w:rsidRPr="00E0697F">
        <w:rPr>
          <w:rFonts w:ascii="Arial" w:hAnsi="Arial" w:cs="Arial"/>
        </w:rPr>
        <w:t xml:space="preserve">strategic documents; </w:t>
      </w:r>
    </w:p>
    <w:p w14:paraId="79D3F565" w14:textId="77777777" w:rsidR="003A72E2" w:rsidRPr="00E0697F" w:rsidRDefault="003A72E2" w:rsidP="00AB67B9">
      <w:pPr>
        <w:numPr>
          <w:ilvl w:val="0"/>
          <w:numId w:val="26"/>
        </w:numPr>
        <w:spacing w:after="120" w:line="360" w:lineRule="auto"/>
        <w:rPr>
          <w:rFonts w:ascii="Arial" w:hAnsi="Arial" w:cs="Arial"/>
        </w:rPr>
      </w:pPr>
      <w:r w:rsidRPr="00E0697F">
        <w:rPr>
          <w:rFonts w:ascii="Arial" w:hAnsi="Arial" w:cs="Arial"/>
        </w:rPr>
        <w:t xml:space="preserve">official statistics; </w:t>
      </w:r>
    </w:p>
    <w:p w14:paraId="537A247E" w14:textId="77777777" w:rsidR="003A72E2" w:rsidRPr="00E0697F" w:rsidRDefault="003A72E2" w:rsidP="00AB67B9">
      <w:pPr>
        <w:numPr>
          <w:ilvl w:val="0"/>
          <w:numId w:val="26"/>
        </w:numPr>
        <w:spacing w:after="120" w:line="360" w:lineRule="auto"/>
        <w:rPr>
          <w:rFonts w:ascii="Arial" w:hAnsi="Arial" w:cs="Arial"/>
        </w:rPr>
      </w:pPr>
      <w:r w:rsidRPr="00E0697F">
        <w:rPr>
          <w:rFonts w:ascii="Arial" w:hAnsi="Arial" w:cs="Arial"/>
        </w:rPr>
        <w:t xml:space="preserve">GIS and spatial analyses; </w:t>
      </w:r>
    </w:p>
    <w:p w14:paraId="0FD6D8E8" w14:textId="77777777" w:rsidR="003A72E2" w:rsidRPr="00E0697F" w:rsidRDefault="003A72E2" w:rsidP="00AB67B9">
      <w:pPr>
        <w:numPr>
          <w:ilvl w:val="0"/>
          <w:numId w:val="26"/>
        </w:numPr>
        <w:spacing w:after="120" w:line="360" w:lineRule="auto"/>
        <w:rPr>
          <w:rFonts w:ascii="Arial" w:hAnsi="Arial" w:cs="Arial"/>
        </w:rPr>
      </w:pPr>
      <w:r w:rsidRPr="00E0697F">
        <w:rPr>
          <w:rFonts w:ascii="Arial" w:hAnsi="Arial" w:cs="Arial"/>
        </w:rPr>
        <w:t xml:space="preserve">consultations with relevant institutions. </w:t>
      </w:r>
    </w:p>
    <w:p w14:paraId="404BFBAC" w14:textId="3E67A292" w:rsidR="003A72E2" w:rsidRPr="00E0697F" w:rsidRDefault="003A72E2" w:rsidP="00AB67B9">
      <w:pPr>
        <w:spacing w:after="120" w:line="360" w:lineRule="auto"/>
        <w:rPr>
          <w:rFonts w:ascii="Arial" w:hAnsi="Arial" w:cs="Arial"/>
          <w:b/>
          <w:bCs/>
        </w:rPr>
      </w:pPr>
      <w:r w:rsidRPr="00E0697F">
        <w:rPr>
          <w:rFonts w:ascii="Arial" w:hAnsi="Arial" w:cs="Arial"/>
          <w:b/>
          <w:bCs/>
        </w:rPr>
        <w:t>Task 4 – Assessment of Strategic Impacts</w:t>
      </w:r>
    </w:p>
    <w:p w14:paraId="3E02C296" w14:textId="43EA9831" w:rsidR="003A72E2" w:rsidRPr="00E0697F" w:rsidRDefault="003A72E2" w:rsidP="00AB67B9">
      <w:pPr>
        <w:spacing w:after="120" w:line="360" w:lineRule="auto"/>
        <w:rPr>
          <w:rFonts w:ascii="Arial" w:hAnsi="Arial" w:cs="Arial"/>
        </w:rPr>
      </w:pPr>
      <w:r w:rsidRPr="00E0697F">
        <w:rPr>
          <w:rFonts w:ascii="Arial" w:hAnsi="Arial" w:cs="Arial"/>
        </w:rPr>
        <w:t xml:space="preserve">The </w:t>
      </w:r>
      <w:r w:rsidR="009D40D6">
        <w:rPr>
          <w:rFonts w:ascii="Arial" w:hAnsi="Arial" w:cs="Arial"/>
        </w:rPr>
        <w:t>locally contracted expert</w:t>
      </w:r>
      <w:r w:rsidRPr="00E0697F">
        <w:rPr>
          <w:rFonts w:ascii="Arial" w:hAnsi="Arial" w:cs="Arial"/>
        </w:rPr>
        <w:t xml:space="preserve"> shall assess the potential impacts of the objectives, priorities, and measures of the Strategy.</w:t>
      </w:r>
    </w:p>
    <w:p w14:paraId="0AEFCAD0" w14:textId="77777777" w:rsidR="003A72E2" w:rsidRPr="00E0697F" w:rsidRDefault="003A72E2" w:rsidP="00AB67B9">
      <w:pPr>
        <w:spacing w:after="120" w:line="360" w:lineRule="auto"/>
        <w:rPr>
          <w:rFonts w:ascii="Arial" w:hAnsi="Arial" w:cs="Arial"/>
        </w:rPr>
      </w:pPr>
      <w:r w:rsidRPr="00E0697F">
        <w:rPr>
          <w:rFonts w:ascii="Arial" w:hAnsi="Arial" w:cs="Arial"/>
        </w:rPr>
        <w:t xml:space="preserve">The assessment shall </w:t>
      </w:r>
      <w:proofErr w:type="spellStart"/>
      <w:r w:rsidRPr="00E0697F">
        <w:rPr>
          <w:rFonts w:ascii="Arial" w:hAnsi="Arial" w:cs="Arial"/>
        </w:rPr>
        <w:t>analyze</w:t>
      </w:r>
      <w:proofErr w:type="spellEnd"/>
      <w:r w:rsidRPr="00E0697F">
        <w:rPr>
          <w:rFonts w:ascii="Arial" w:hAnsi="Arial" w:cs="Arial"/>
        </w:rPr>
        <w:t>:</w:t>
      </w:r>
    </w:p>
    <w:p w14:paraId="2C444AA1" w14:textId="77777777" w:rsidR="003A72E2" w:rsidRPr="00E0697F" w:rsidRDefault="003A72E2" w:rsidP="00AB67B9">
      <w:pPr>
        <w:numPr>
          <w:ilvl w:val="0"/>
          <w:numId w:val="27"/>
        </w:numPr>
        <w:spacing w:after="120" w:line="360" w:lineRule="auto"/>
        <w:rPr>
          <w:rFonts w:ascii="Arial" w:hAnsi="Arial" w:cs="Arial"/>
        </w:rPr>
      </w:pPr>
      <w:r w:rsidRPr="00E0697F">
        <w:rPr>
          <w:rFonts w:ascii="Arial" w:hAnsi="Arial" w:cs="Arial"/>
        </w:rPr>
        <w:t xml:space="preserve">direct impacts; </w:t>
      </w:r>
    </w:p>
    <w:p w14:paraId="52EFDDC0" w14:textId="77777777" w:rsidR="003A72E2" w:rsidRPr="00E0697F" w:rsidRDefault="003A72E2" w:rsidP="00AB67B9">
      <w:pPr>
        <w:numPr>
          <w:ilvl w:val="0"/>
          <w:numId w:val="27"/>
        </w:numPr>
        <w:spacing w:after="120" w:line="360" w:lineRule="auto"/>
        <w:rPr>
          <w:rFonts w:ascii="Arial" w:hAnsi="Arial" w:cs="Arial"/>
        </w:rPr>
      </w:pPr>
      <w:r w:rsidRPr="00E0697F">
        <w:rPr>
          <w:rFonts w:ascii="Arial" w:hAnsi="Arial" w:cs="Arial"/>
        </w:rPr>
        <w:t xml:space="preserve">indirect impacts; </w:t>
      </w:r>
    </w:p>
    <w:p w14:paraId="571AF1BB" w14:textId="77777777" w:rsidR="003A72E2" w:rsidRPr="00E0697F" w:rsidRDefault="003A72E2" w:rsidP="00AB67B9">
      <w:pPr>
        <w:numPr>
          <w:ilvl w:val="0"/>
          <w:numId w:val="27"/>
        </w:numPr>
        <w:spacing w:after="120" w:line="360" w:lineRule="auto"/>
        <w:rPr>
          <w:rFonts w:ascii="Arial" w:hAnsi="Arial" w:cs="Arial"/>
        </w:rPr>
      </w:pPr>
      <w:r w:rsidRPr="00E0697F">
        <w:rPr>
          <w:rFonts w:ascii="Arial" w:hAnsi="Arial" w:cs="Arial"/>
        </w:rPr>
        <w:t xml:space="preserve">cumulative impacts; </w:t>
      </w:r>
    </w:p>
    <w:p w14:paraId="3FB86AC0" w14:textId="77777777" w:rsidR="003A72E2" w:rsidRPr="00E0697F" w:rsidRDefault="003A72E2" w:rsidP="00AB67B9">
      <w:pPr>
        <w:numPr>
          <w:ilvl w:val="0"/>
          <w:numId w:val="27"/>
        </w:numPr>
        <w:spacing w:after="120" w:line="360" w:lineRule="auto"/>
        <w:rPr>
          <w:rFonts w:ascii="Arial" w:hAnsi="Arial" w:cs="Arial"/>
        </w:rPr>
      </w:pPr>
      <w:r w:rsidRPr="00E0697F">
        <w:rPr>
          <w:rFonts w:ascii="Arial" w:hAnsi="Arial" w:cs="Arial"/>
        </w:rPr>
        <w:t xml:space="preserve">synergistic impacts; </w:t>
      </w:r>
    </w:p>
    <w:p w14:paraId="20E41D18" w14:textId="77777777" w:rsidR="003A72E2" w:rsidRPr="00E0697F" w:rsidRDefault="003A72E2" w:rsidP="00AB67B9">
      <w:pPr>
        <w:numPr>
          <w:ilvl w:val="0"/>
          <w:numId w:val="27"/>
        </w:numPr>
        <w:spacing w:after="120" w:line="360" w:lineRule="auto"/>
        <w:rPr>
          <w:rFonts w:ascii="Arial" w:hAnsi="Arial" w:cs="Arial"/>
        </w:rPr>
      </w:pPr>
      <w:r w:rsidRPr="00E0697F">
        <w:rPr>
          <w:rFonts w:ascii="Arial" w:hAnsi="Arial" w:cs="Arial"/>
        </w:rPr>
        <w:t xml:space="preserve">short-term, medium-term, and long-term impacts; </w:t>
      </w:r>
    </w:p>
    <w:p w14:paraId="6A3CF749" w14:textId="77777777" w:rsidR="003A72E2" w:rsidRPr="00E0697F" w:rsidRDefault="003A72E2" w:rsidP="00AB67B9">
      <w:pPr>
        <w:numPr>
          <w:ilvl w:val="0"/>
          <w:numId w:val="27"/>
        </w:numPr>
        <w:spacing w:after="120" w:line="360" w:lineRule="auto"/>
        <w:rPr>
          <w:rFonts w:ascii="Arial" w:hAnsi="Arial" w:cs="Arial"/>
        </w:rPr>
      </w:pPr>
      <w:r w:rsidRPr="00E0697F">
        <w:rPr>
          <w:rFonts w:ascii="Arial" w:hAnsi="Arial" w:cs="Arial"/>
        </w:rPr>
        <w:t xml:space="preserve">positive and negative impacts. </w:t>
      </w:r>
    </w:p>
    <w:p w14:paraId="3FE795FE" w14:textId="77777777" w:rsidR="003A72E2" w:rsidRPr="00E0697F" w:rsidRDefault="003A72E2" w:rsidP="00AB67B9">
      <w:pPr>
        <w:spacing w:after="120" w:line="360" w:lineRule="auto"/>
        <w:rPr>
          <w:rFonts w:ascii="Arial" w:hAnsi="Arial" w:cs="Arial"/>
        </w:rPr>
      </w:pPr>
      <w:r w:rsidRPr="00E0697F">
        <w:rPr>
          <w:rFonts w:ascii="Arial" w:hAnsi="Arial" w:cs="Arial"/>
        </w:rPr>
        <w:t>The assessment shall cover:</w:t>
      </w:r>
    </w:p>
    <w:p w14:paraId="32720F62" w14:textId="77777777" w:rsidR="003A72E2" w:rsidRPr="00E0697F" w:rsidRDefault="003A72E2" w:rsidP="00AB67B9">
      <w:pPr>
        <w:numPr>
          <w:ilvl w:val="0"/>
          <w:numId w:val="28"/>
        </w:numPr>
        <w:spacing w:after="120" w:line="360" w:lineRule="auto"/>
        <w:rPr>
          <w:rFonts w:ascii="Arial" w:hAnsi="Arial" w:cs="Arial"/>
        </w:rPr>
      </w:pPr>
      <w:r w:rsidRPr="00E0697F">
        <w:rPr>
          <w:rFonts w:ascii="Arial" w:hAnsi="Arial" w:cs="Arial"/>
        </w:rPr>
        <w:t xml:space="preserve">development and rehabilitation of TEN-T infrastructure; </w:t>
      </w:r>
    </w:p>
    <w:p w14:paraId="5CC501D6" w14:textId="77777777" w:rsidR="003A72E2" w:rsidRPr="00E0697F" w:rsidRDefault="003A72E2" w:rsidP="00AB67B9">
      <w:pPr>
        <w:numPr>
          <w:ilvl w:val="0"/>
          <w:numId w:val="28"/>
        </w:numPr>
        <w:spacing w:after="120" w:line="360" w:lineRule="auto"/>
        <w:rPr>
          <w:rFonts w:ascii="Arial" w:hAnsi="Arial" w:cs="Arial"/>
        </w:rPr>
      </w:pPr>
      <w:r w:rsidRPr="00E0697F">
        <w:rPr>
          <w:rFonts w:ascii="Arial" w:hAnsi="Arial" w:cs="Arial"/>
        </w:rPr>
        <w:t xml:space="preserve">modernization of road and railway infrastructure; </w:t>
      </w:r>
    </w:p>
    <w:p w14:paraId="0CE4436A" w14:textId="77777777" w:rsidR="003A72E2" w:rsidRPr="00E0697F" w:rsidRDefault="003A72E2" w:rsidP="00AB67B9">
      <w:pPr>
        <w:numPr>
          <w:ilvl w:val="0"/>
          <w:numId w:val="28"/>
        </w:numPr>
        <w:spacing w:after="120" w:line="360" w:lineRule="auto"/>
        <w:rPr>
          <w:rFonts w:ascii="Arial" w:hAnsi="Arial" w:cs="Arial"/>
        </w:rPr>
      </w:pPr>
      <w:r w:rsidRPr="00E0697F">
        <w:rPr>
          <w:rFonts w:ascii="Arial" w:hAnsi="Arial" w:cs="Arial"/>
        </w:rPr>
        <w:t xml:space="preserve">port and airport development; </w:t>
      </w:r>
    </w:p>
    <w:p w14:paraId="2BFAF6BA" w14:textId="77777777" w:rsidR="003A72E2" w:rsidRPr="00E0697F" w:rsidRDefault="003A72E2" w:rsidP="00AB67B9">
      <w:pPr>
        <w:numPr>
          <w:ilvl w:val="0"/>
          <w:numId w:val="28"/>
        </w:numPr>
        <w:spacing w:after="120" w:line="360" w:lineRule="auto"/>
        <w:rPr>
          <w:rFonts w:ascii="Arial" w:hAnsi="Arial" w:cs="Arial"/>
        </w:rPr>
      </w:pPr>
      <w:r w:rsidRPr="00E0697F">
        <w:rPr>
          <w:rFonts w:ascii="Arial" w:hAnsi="Arial" w:cs="Arial"/>
        </w:rPr>
        <w:lastRenderedPageBreak/>
        <w:t xml:space="preserve">multimodality; </w:t>
      </w:r>
    </w:p>
    <w:p w14:paraId="55D80068" w14:textId="77777777" w:rsidR="003A72E2" w:rsidRPr="00E0697F" w:rsidRDefault="003A72E2" w:rsidP="00AB67B9">
      <w:pPr>
        <w:numPr>
          <w:ilvl w:val="0"/>
          <w:numId w:val="28"/>
        </w:numPr>
        <w:spacing w:after="120" w:line="360" w:lineRule="auto"/>
        <w:rPr>
          <w:rFonts w:ascii="Arial" w:hAnsi="Arial" w:cs="Arial"/>
        </w:rPr>
      </w:pPr>
      <w:r w:rsidRPr="00E0697F">
        <w:rPr>
          <w:rFonts w:ascii="Arial" w:hAnsi="Arial" w:cs="Arial"/>
        </w:rPr>
        <w:t xml:space="preserve">intelligent transport systems; </w:t>
      </w:r>
    </w:p>
    <w:p w14:paraId="5A947085" w14:textId="77777777" w:rsidR="003A72E2" w:rsidRPr="00E0697F" w:rsidRDefault="003A72E2" w:rsidP="00AB67B9">
      <w:pPr>
        <w:numPr>
          <w:ilvl w:val="0"/>
          <w:numId w:val="28"/>
        </w:numPr>
        <w:spacing w:after="120" w:line="360" w:lineRule="auto"/>
        <w:rPr>
          <w:rFonts w:ascii="Arial" w:hAnsi="Arial" w:cs="Arial"/>
        </w:rPr>
      </w:pPr>
      <w:r w:rsidRPr="00E0697F">
        <w:rPr>
          <w:rFonts w:ascii="Arial" w:hAnsi="Arial" w:cs="Arial"/>
        </w:rPr>
        <w:t xml:space="preserve">decarbonization and alternative fuels; </w:t>
      </w:r>
    </w:p>
    <w:p w14:paraId="0BAD76E3" w14:textId="77777777" w:rsidR="003A72E2" w:rsidRPr="00E0697F" w:rsidRDefault="003A72E2" w:rsidP="00AB67B9">
      <w:pPr>
        <w:numPr>
          <w:ilvl w:val="0"/>
          <w:numId w:val="28"/>
        </w:numPr>
        <w:spacing w:after="120" w:line="360" w:lineRule="auto"/>
        <w:rPr>
          <w:rFonts w:ascii="Arial" w:hAnsi="Arial" w:cs="Arial"/>
        </w:rPr>
      </w:pPr>
      <w:r w:rsidRPr="00E0697F">
        <w:rPr>
          <w:rFonts w:ascii="Arial" w:hAnsi="Arial" w:cs="Arial"/>
        </w:rPr>
        <w:t xml:space="preserve">urban mobility; </w:t>
      </w:r>
    </w:p>
    <w:p w14:paraId="18B68A68" w14:textId="77777777" w:rsidR="003A72E2" w:rsidRPr="00E0697F" w:rsidRDefault="003A72E2" w:rsidP="00AB67B9">
      <w:pPr>
        <w:numPr>
          <w:ilvl w:val="0"/>
          <w:numId w:val="28"/>
        </w:numPr>
        <w:spacing w:after="120" w:line="360" w:lineRule="auto"/>
        <w:rPr>
          <w:rFonts w:ascii="Arial" w:hAnsi="Arial" w:cs="Arial"/>
        </w:rPr>
      </w:pPr>
      <w:r w:rsidRPr="00E0697F">
        <w:rPr>
          <w:rFonts w:ascii="Arial" w:hAnsi="Arial" w:cs="Arial"/>
        </w:rPr>
        <w:t xml:space="preserve">climate resilience of infrastructure. </w:t>
      </w:r>
    </w:p>
    <w:p w14:paraId="2DE86424" w14:textId="28D498A0" w:rsidR="003A72E2" w:rsidRPr="00E0697F" w:rsidRDefault="003A72E2" w:rsidP="00AB67B9">
      <w:pPr>
        <w:spacing w:after="120" w:line="360" w:lineRule="auto"/>
        <w:rPr>
          <w:rFonts w:ascii="Arial" w:hAnsi="Arial" w:cs="Arial"/>
          <w:b/>
          <w:bCs/>
        </w:rPr>
      </w:pPr>
      <w:r w:rsidRPr="00E0697F">
        <w:rPr>
          <w:rFonts w:ascii="Arial" w:hAnsi="Arial" w:cs="Arial"/>
          <w:b/>
          <w:bCs/>
        </w:rPr>
        <w:t>Task 5 – Analysis of Alternatives</w:t>
      </w:r>
    </w:p>
    <w:p w14:paraId="475680EF" w14:textId="19DD7089" w:rsidR="003A72E2" w:rsidRPr="00E0697F" w:rsidRDefault="003A72E2" w:rsidP="00AB67B9">
      <w:pPr>
        <w:spacing w:after="120" w:line="360" w:lineRule="auto"/>
        <w:rPr>
          <w:rFonts w:ascii="Arial" w:hAnsi="Arial" w:cs="Arial"/>
        </w:rPr>
      </w:pPr>
      <w:r w:rsidRPr="00E0697F">
        <w:rPr>
          <w:rFonts w:ascii="Arial" w:hAnsi="Arial" w:cs="Arial"/>
        </w:rPr>
        <w:t xml:space="preserve">The </w:t>
      </w:r>
      <w:r w:rsidR="009D40D6">
        <w:rPr>
          <w:rFonts w:ascii="Arial" w:hAnsi="Arial" w:cs="Arial"/>
        </w:rPr>
        <w:t xml:space="preserve">locally contracted expert </w:t>
      </w:r>
      <w:r w:rsidRPr="00E0697F">
        <w:rPr>
          <w:rFonts w:ascii="Arial" w:hAnsi="Arial" w:cs="Arial"/>
        </w:rPr>
        <w:t xml:space="preserve">shall </w:t>
      </w:r>
      <w:proofErr w:type="spellStart"/>
      <w:r w:rsidRPr="00E0697F">
        <w:rPr>
          <w:rFonts w:ascii="Arial" w:hAnsi="Arial" w:cs="Arial"/>
        </w:rPr>
        <w:t>analyze</w:t>
      </w:r>
      <w:proofErr w:type="spellEnd"/>
      <w:r w:rsidRPr="00E0697F">
        <w:rPr>
          <w:rFonts w:ascii="Arial" w:hAnsi="Arial" w:cs="Arial"/>
        </w:rPr>
        <w:t>:</w:t>
      </w:r>
    </w:p>
    <w:p w14:paraId="5C9D3214" w14:textId="77777777" w:rsidR="003A72E2" w:rsidRPr="00E0697F" w:rsidRDefault="003A72E2" w:rsidP="00AB67B9">
      <w:pPr>
        <w:numPr>
          <w:ilvl w:val="0"/>
          <w:numId w:val="29"/>
        </w:numPr>
        <w:spacing w:after="120" w:line="360" w:lineRule="auto"/>
        <w:rPr>
          <w:rFonts w:ascii="Arial" w:hAnsi="Arial" w:cs="Arial"/>
        </w:rPr>
      </w:pPr>
      <w:r w:rsidRPr="00E0697F">
        <w:rPr>
          <w:rFonts w:ascii="Arial" w:hAnsi="Arial" w:cs="Arial"/>
        </w:rPr>
        <w:t xml:space="preserve">the “no implementation” alternative; </w:t>
      </w:r>
    </w:p>
    <w:p w14:paraId="159720A1" w14:textId="77777777" w:rsidR="003A72E2" w:rsidRPr="00E0697F" w:rsidRDefault="003A72E2" w:rsidP="00AB67B9">
      <w:pPr>
        <w:numPr>
          <w:ilvl w:val="0"/>
          <w:numId w:val="29"/>
        </w:numPr>
        <w:spacing w:after="120" w:line="360" w:lineRule="auto"/>
        <w:rPr>
          <w:rFonts w:ascii="Arial" w:hAnsi="Arial" w:cs="Arial"/>
        </w:rPr>
      </w:pPr>
      <w:r w:rsidRPr="00E0697F">
        <w:rPr>
          <w:rFonts w:ascii="Arial" w:hAnsi="Arial" w:cs="Arial"/>
        </w:rPr>
        <w:t xml:space="preserve">strategic alternatives; </w:t>
      </w:r>
    </w:p>
    <w:p w14:paraId="61CB8186" w14:textId="77777777" w:rsidR="003A72E2" w:rsidRPr="00E0697F" w:rsidRDefault="003A72E2" w:rsidP="00AB67B9">
      <w:pPr>
        <w:numPr>
          <w:ilvl w:val="0"/>
          <w:numId w:val="29"/>
        </w:numPr>
        <w:spacing w:after="120" w:line="360" w:lineRule="auto"/>
        <w:rPr>
          <w:rFonts w:ascii="Arial" w:hAnsi="Arial" w:cs="Arial"/>
        </w:rPr>
      </w:pPr>
      <w:r w:rsidRPr="00E0697F">
        <w:rPr>
          <w:rFonts w:ascii="Arial" w:hAnsi="Arial" w:cs="Arial"/>
        </w:rPr>
        <w:t xml:space="preserve">technological and operational alternatives, where applicable. </w:t>
      </w:r>
    </w:p>
    <w:p w14:paraId="5734E4FE" w14:textId="77777777" w:rsidR="003A72E2" w:rsidRPr="00E0697F" w:rsidRDefault="003A72E2" w:rsidP="00AB67B9">
      <w:pPr>
        <w:spacing w:after="120" w:line="360" w:lineRule="auto"/>
        <w:rPr>
          <w:rFonts w:ascii="Arial" w:hAnsi="Arial" w:cs="Arial"/>
        </w:rPr>
      </w:pPr>
      <w:r w:rsidRPr="00E0697F">
        <w:rPr>
          <w:rFonts w:ascii="Arial" w:hAnsi="Arial" w:cs="Arial"/>
        </w:rPr>
        <w:t>The analysis shall consider:</w:t>
      </w:r>
    </w:p>
    <w:p w14:paraId="2341D305" w14:textId="77777777" w:rsidR="003A72E2" w:rsidRPr="00E0697F" w:rsidRDefault="003A72E2" w:rsidP="00AB67B9">
      <w:pPr>
        <w:numPr>
          <w:ilvl w:val="0"/>
          <w:numId w:val="30"/>
        </w:numPr>
        <w:spacing w:after="120" w:line="360" w:lineRule="auto"/>
        <w:rPr>
          <w:rFonts w:ascii="Arial" w:hAnsi="Arial" w:cs="Arial"/>
        </w:rPr>
      </w:pPr>
      <w:r w:rsidRPr="00E0697F">
        <w:rPr>
          <w:rFonts w:ascii="Arial" w:hAnsi="Arial" w:cs="Arial"/>
        </w:rPr>
        <w:t xml:space="preserve">environmental effects; </w:t>
      </w:r>
    </w:p>
    <w:p w14:paraId="2F492C20" w14:textId="77777777" w:rsidR="003A72E2" w:rsidRPr="00E0697F" w:rsidRDefault="003A72E2" w:rsidP="00AB67B9">
      <w:pPr>
        <w:numPr>
          <w:ilvl w:val="0"/>
          <w:numId w:val="30"/>
        </w:numPr>
        <w:spacing w:after="120" w:line="360" w:lineRule="auto"/>
        <w:rPr>
          <w:rFonts w:ascii="Arial" w:hAnsi="Arial" w:cs="Arial"/>
        </w:rPr>
      </w:pPr>
      <w:r w:rsidRPr="00E0697F">
        <w:rPr>
          <w:rFonts w:ascii="Arial" w:hAnsi="Arial" w:cs="Arial"/>
        </w:rPr>
        <w:t xml:space="preserve">social effects; </w:t>
      </w:r>
    </w:p>
    <w:p w14:paraId="252EA224" w14:textId="77777777" w:rsidR="003A72E2" w:rsidRPr="00E0697F" w:rsidRDefault="003A72E2" w:rsidP="00AB67B9">
      <w:pPr>
        <w:numPr>
          <w:ilvl w:val="0"/>
          <w:numId w:val="30"/>
        </w:numPr>
        <w:spacing w:after="120" w:line="360" w:lineRule="auto"/>
        <w:rPr>
          <w:rFonts w:ascii="Arial" w:hAnsi="Arial" w:cs="Arial"/>
        </w:rPr>
      </w:pPr>
      <w:r w:rsidRPr="00E0697F">
        <w:rPr>
          <w:rFonts w:ascii="Arial" w:hAnsi="Arial" w:cs="Arial"/>
        </w:rPr>
        <w:t xml:space="preserve">climate effects; </w:t>
      </w:r>
    </w:p>
    <w:p w14:paraId="090F02BE" w14:textId="77777777" w:rsidR="003A72E2" w:rsidRPr="00E0697F" w:rsidRDefault="003A72E2" w:rsidP="00AB67B9">
      <w:pPr>
        <w:numPr>
          <w:ilvl w:val="0"/>
          <w:numId w:val="30"/>
        </w:numPr>
        <w:spacing w:after="120" w:line="360" w:lineRule="auto"/>
        <w:rPr>
          <w:rFonts w:ascii="Arial" w:hAnsi="Arial" w:cs="Arial"/>
        </w:rPr>
      </w:pPr>
      <w:r w:rsidRPr="00E0697F">
        <w:rPr>
          <w:rFonts w:ascii="Arial" w:hAnsi="Arial" w:cs="Arial"/>
        </w:rPr>
        <w:t xml:space="preserve">energy efficiency; </w:t>
      </w:r>
    </w:p>
    <w:p w14:paraId="1FE8E753" w14:textId="77777777" w:rsidR="003A72E2" w:rsidRPr="00E0697F" w:rsidRDefault="003A72E2" w:rsidP="00AB67B9">
      <w:pPr>
        <w:numPr>
          <w:ilvl w:val="0"/>
          <w:numId w:val="30"/>
        </w:numPr>
        <w:spacing w:after="120" w:line="360" w:lineRule="auto"/>
        <w:rPr>
          <w:rFonts w:ascii="Arial" w:hAnsi="Arial" w:cs="Arial"/>
        </w:rPr>
      </w:pPr>
      <w:r w:rsidRPr="00E0697F">
        <w:rPr>
          <w:rFonts w:ascii="Arial" w:hAnsi="Arial" w:cs="Arial"/>
        </w:rPr>
        <w:t xml:space="preserve">compliance with sustainable development objectives. </w:t>
      </w:r>
    </w:p>
    <w:p w14:paraId="44FF2CC0" w14:textId="7EF006F1" w:rsidR="003A72E2" w:rsidRPr="00E0697F" w:rsidRDefault="003A72E2" w:rsidP="00AB67B9">
      <w:pPr>
        <w:spacing w:after="120" w:line="360" w:lineRule="auto"/>
        <w:rPr>
          <w:rFonts w:ascii="Arial" w:hAnsi="Arial" w:cs="Arial"/>
          <w:b/>
          <w:bCs/>
        </w:rPr>
      </w:pPr>
      <w:r w:rsidRPr="00E0697F">
        <w:rPr>
          <w:rFonts w:ascii="Arial" w:hAnsi="Arial" w:cs="Arial"/>
          <w:b/>
          <w:bCs/>
        </w:rPr>
        <w:t>Task 6 – Mitigation Measures and Monitoring Program</w:t>
      </w:r>
    </w:p>
    <w:p w14:paraId="0C64942D" w14:textId="5F32FE5A" w:rsidR="003A72E2" w:rsidRPr="00E0697F" w:rsidRDefault="003A72E2" w:rsidP="00AB67B9">
      <w:pPr>
        <w:spacing w:after="120" w:line="360" w:lineRule="auto"/>
        <w:rPr>
          <w:rFonts w:ascii="Arial" w:hAnsi="Arial" w:cs="Arial"/>
        </w:rPr>
      </w:pPr>
      <w:r w:rsidRPr="00E0697F">
        <w:rPr>
          <w:rFonts w:ascii="Arial" w:hAnsi="Arial" w:cs="Arial"/>
        </w:rPr>
        <w:t xml:space="preserve">The </w:t>
      </w:r>
      <w:r w:rsidR="009D40D6">
        <w:rPr>
          <w:rFonts w:ascii="Arial" w:hAnsi="Arial" w:cs="Arial"/>
        </w:rPr>
        <w:t xml:space="preserve">locally contracted expert </w:t>
      </w:r>
      <w:r w:rsidRPr="00E0697F">
        <w:rPr>
          <w:rFonts w:ascii="Arial" w:hAnsi="Arial" w:cs="Arial"/>
        </w:rPr>
        <w:t>shall propose:</w:t>
      </w:r>
    </w:p>
    <w:p w14:paraId="09952E56" w14:textId="77777777" w:rsidR="003A72E2" w:rsidRPr="00E0697F" w:rsidRDefault="003A72E2" w:rsidP="00AB67B9">
      <w:pPr>
        <w:numPr>
          <w:ilvl w:val="0"/>
          <w:numId w:val="31"/>
        </w:numPr>
        <w:spacing w:after="120" w:line="360" w:lineRule="auto"/>
        <w:rPr>
          <w:rFonts w:ascii="Arial" w:hAnsi="Arial" w:cs="Arial"/>
        </w:rPr>
      </w:pPr>
      <w:r w:rsidRPr="00E0697F">
        <w:rPr>
          <w:rFonts w:ascii="Arial" w:hAnsi="Arial" w:cs="Arial"/>
        </w:rPr>
        <w:t xml:space="preserve">preventive measures; </w:t>
      </w:r>
    </w:p>
    <w:p w14:paraId="3B1F3E42" w14:textId="77777777" w:rsidR="003A72E2" w:rsidRPr="00E0697F" w:rsidRDefault="003A72E2" w:rsidP="00AB67B9">
      <w:pPr>
        <w:numPr>
          <w:ilvl w:val="0"/>
          <w:numId w:val="31"/>
        </w:numPr>
        <w:spacing w:after="120" w:line="360" w:lineRule="auto"/>
        <w:rPr>
          <w:rFonts w:ascii="Arial" w:hAnsi="Arial" w:cs="Arial"/>
        </w:rPr>
      </w:pPr>
      <w:r w:rsidRPr="00E0697F">
        <w:rPr>
          <w:rFonts w:ascii="Arial" w:hAnsi="Arial" w:cs="Arial"/>
        </w:rPr>
        <w:t xml:space="preserve">mitigation measures; </w:t>
      </w:r>
    </w:p>
    <w:p w14:paraId="38A4397A" w14:textId="77777777" w:rsidR="003A72E2" w:rsidRPr="00E0697F" w:rsidRDefault="003A72E2" w:rsidP="00AB67B9">
      <w:pPr>
        <w:numPr>
          <w:ilvl w:val="0"/>
          <w:numId w:val="31"/>
        </w:numPr>
        <w:spacing w:after="120" w:line="360" w:lineRule="auto"/>
        <w:rPr>
          <w:rFonts w:ascii="Arial" w:hAnsi="Arial" w:cs="Arial"/>
        </w:rPr>
      </w:pPr>
      <w:r w:rsidRPr="00E0697F">
        <w:rPr>
          <w:rFonts w:ascii="Arial" w:hAnsi="Arial" w:cs="Arial"/>
        </w:rPr>
        <w:t xml:space="preserve">monitoring measures; </w:t>
      </w:r>
    </w:p>
    <w:p w14:paraId="0F3DCC73" w14:textId="77777777" w:rsidR="003A72E2" w:rsidRPr="00E0697F" w:rsidRDefault="003A72E2" w:rsidP="00AB67B9">
      <w:pPr>
        <w:numPr>
          <w:ilvl w:val="0"/>
          <w:numId w:val="31"/>
        </w:numPr>
        <w:spacing w:after="120" w:line="360" w:lineRule="auto"/>
        <w:rPr>
          <w:rFonts w:ascii="Arial" w:hAnsi="Arial" w:cs="Arial"/>
        </w:rPr>
      </w:pPr>
      <w:r w:rsidRPr="00E0697F">
        <w:rPr>
          <w:rFonts w:ascii="Arial" w:hAnsi="Arial" w:cs="Arial"/>
        </w:rPr>
        <w:t xml:space="preserve">recommendations for their integration into the Strategy; </w:t>
      </w:r>
    </w:p>
    <w:p w14:paraId="50D9040F" w14:textId="77777777" w:rsidR="003A72E2" w:rsidRPr="00E0697F" w:rsidRDefault="003A72E2" w:rsidP="00AB67B9">
      <w:pPr>
        <w:numPr>
          <w:ilvl w:val="0"/>
          <w:numId w:val="31"/>
        </w:numPr>
        <w:spacing w:after="120" w:line="360" w:lineRule="auto"/>
        <w:rPr>
          <w:rFonts w:ascii="Arial" w:hAnsi="Arial" w:cs="Arial"/>
        </w:rPr>
      </w:pPr>
      <w:r w:rsidRPr="00E0697F">
        <w:rPr>
          <w:rFonts w:ascii="Arial" w:hAnsi="Arial" w:cs="Arial"/>
        </w:rPr>
        <w:t xml:space="preserve">monitoring indicators; </w:t>
      </w:r>
    </w:p>
    <w:p w14:paraId="307D9AB4" w14:textId="77777777" w:rsidR="003A72E2" w:rsidRPr="00E0697F" w:rsidRDefault="003A72E2" w:rsidP="00AB67B9">
      <w:pPr>
        <w:numPr>
          <w:ilvl w:val="0"/>
          <w:numId w:val="31"/>
        </w:numPr>
        <w:spacing w:after="120" w:line="360" w:lineRule="auto"/>
        <w:rPr>
          <w:rFonts w:ascii="Arial" w:hAnsi="Arial" w:cs="Arial"/>
        </w:rPr>
      </w:pPr>
      <w:r w:rsidRPr="00E0697F">
        <w:rPr>
          <w:rFonts w:ascii="Arial" w:hAnsi="Arial" w:cs="Arial"/>
        </w:rPr>
        <w:t xml:space="preserve">institutional responsibilities; </w:t>
      </w:r>
    </w:p>
    <w:p w14:paraId="5DA4AA67" w14:textId="77777777" w:rsidR="003A72E2" w:rsidRPr="00E0697F" w:rsidRDefault="003A72E2" w:rsidP="00AB67B9">
      <w:pPr>
        <w:numPr>
          <w:ilvl w:val="0"/>
          <w:numId w:val="31"/>
        </w:numPr>
        <w:spacing w:after="120" w:line="360" w:lineRule="auto"/>
        <w:rPr>
          <w:rFonts w:ascii="Arial" w:hAnsi="Arial" w:cs="Arial"/>
        </w:rPr>
      </w:pPr>
      <w:r w:rsidRPr="00E0697F">
        <w:rPr>
          <w:rFonts w:ascii="Arial" w:hAnsi="Arial" w:cs="Arial"/>
        </w:rPr>
        <w:t xml:space="preserve">reporting mechanisms. </w:t>
      </w:r>
    </w:p>
    <w:p w14:paraId="112A2868" w14:textId="77777777" w:rsidR="003A72E2" w:rsidRPr="00E0697F" w:rsidRDefault="003A72E2" w:rsidP="00AB67B9">
      <w:pPr>
        <w:spacing w:after="120" w:line="360" w:lineRule="auto"/>
        <w:rPr>
          <w:rFonts w:ascii="Arial" w:hAnsi="Arial" w:cs="Arial"/>
        </w:rPr>
      </w:pPr>
      <w:r w:rsidRPr="00E0697F">
        <w:rPr>
          <w:rFonts w:ascii="Arial" w:hAnsi="Arial" w:cs="Arial"/>
        </w:rPr>
        <w:lastRenderedPageBreak/>
        <w:t>The monitoring program shall include:</w:t>
      </w:r>
    </w:p>
    <w:p w14:paraId="195CE258" w14:textId="77777777" w:rsidR="003A72E2" w:rsidRPr="00E0697F" w:rsidRDefault="003A72E2" w:rsidP="00AB67B9">
      <w:pPr>
        <w:numPr>
          <w:ilvl w:val="0"/>
          <w:numId w:val="32"/>
        </w:numPr>
        <w:spacing w:after="120" w:line="360" w:lineRule="auto"/>
        <w:rPr>
          <w:rFonts w:ascii="Arial" w:hAnsi="Arial" w:cs="Arial"/>
        </w:rPr>
      </w:pPr>
      <w:r w:rsidRPr="00E0697F">
        <w:rPr>
          <w:rFonts w:ascii="Arial" w:hAnsi="Arial" w:cs="Arial"/>
        </w:rPr>
        <w:t xml:space="preserve">environmental indicators; </w:t>
      </w:r>
    </w:p>
    <w:p w14:paraId="1B64052A" w14:textId="77777777" w:rsidR="003A72E2" w:rsidRPr="00E0697F" w:rsidRDefault="003A72E2" w:rsidP="00AB67B9">
      <w:pPr>
        <w:numPr>
          <w:ilvl w:val="0"/>
          <w:numId w:val="32"/>
        </w:numPr>
        <w:spacing w:after="120" w:line="360" w:lineRule="auto"/>
        <w:rPr>
          <w:rFonts w:ascii="Arial" w:hAnsi="Arial" w:cs="Arial"/>
        </w:rPr>
      </w:pPr>
      <w:r w:rsidRPr="00E0697F">
        <w:rPr>
          <w:rFonts w:ascii="Arial" w:hAnsi="Arial" w:cs="Arial"/>
        </w:rPr>
        <w:t xml:space="preserve">climate indicators; </w:t>
      </w:r>
    </w:p>
    <w:p w14:paraId="6726E2C3" w14:textId="77777777" w:rsidR="003A72E2" w:rsidRPr="00E0697F" w:rsidRDefault="003A72E2" w:rsidP="00AB67B9">
      <w:pPr>
        <w:numPr>
          <w:ilvl w:val="0"/>
          <w:numId w:val="32"/>
        </w:numPr>
        <w:spacing w:after="120" w:line="360" w:lineRule="auto"/>
        <w:rPr>
          <w:rFonts w:ascii="Arial" w:hAnsi="Arial" w:cs="Arial"/>
        </w:rPr>
      </w:pPr>
      <w:r w:rsidRPr="00E0697F">
        <w:rPr>
          <w:rFonts w:ascii="Arial" w:hAnsi="Arial" w:cs="Arial"/>
        </w:rPr>
        <w:t xml:space="preserve">social indicators; </w:t>
      </w:r>
    </w:p>
    <w:p w14:paraId="59D6501E" w14:textId="77777777" w:rsidR="003A72E2" w:rsidRPr="00E0697F" w:rsidRDefault="003A72E2" w:rsidP="00AB67B9">
      <w:pPr>
        <w:numPr>
          <w:ilvl w:val="0"/>
          <w:numId w:val="32"/>
        </w:numPr>
        <w:spacing w:after="120" w:line="360" w:lineRule="auto"/>
        <w:rPr>
          <w:rFonts w:ascii="Arial" w:hAnsi="Arial" w:cs="Arial"/>
        </w:rPr>
      </w:pPr>
      <w:r w:rsidRPr="00E0697F">
        <w:rPr>
          <w:rFonts w:ascii="Arial" w:hAnsi="Arial" w:cs="Arial"/>
        </w:rPr>
        <w:t xml:space="preserve">monitoring of cumulative impacts; </w:t>
      </w:r>
    </w:p>
    <w:p w14:paraId="0DCC83B7" w14:textId="77777777" w:rsidR="003A72E2" w:rsidRPr="00E0697F" w:rsidRDefault="003A72E2" w:rsidP="00AB67B9">
      <w:pPr>
        <w:numPr>
          <w:ilvl w:val="0"/>
          <w:numId w:val="32"/>
        </w:numPr>
        <w:spacing w:after="120" w:line="360" w:lineRule="auto"/>
        <w:rPr>
          <w:rFonts w:ascii="Arial" w:hAnsi="Arial" w:cs="Arial"/>
        </w:rPr>
      </w:pPr>
      <w:r w:rsidRPr="00E0697F">
        <w:rPr>
          <w:rFonts w:ascii="Arial" w:hAnsi="Arial" w:cs="Arial"/>
        </w:rPr>
        <w:t xml:space="preserve">periodic implementation reporting. </w:t>
      </w:r>
    </w:p>
    <w:p w14:paraId="79E5BDC5" w14:textId="59473D11" w:rsidR="003A72E2" w:rsidRPr="00E0697F" w:rsidRDefault="003A72E2" w:rsidP="00AB67B9">
      <w:pPr>
        <w:spacing w:after="120" w:line="360" w:lineRule="auto"/>
        <w:rPr>
          <w:rFonts w:ascii="Arial" w:hAnsi="Arial" w:cs="Arial"/>
          <w:b/>
          <w:bCs/>
        </w:rPr>
      </w:pPr>
      <w:r w:rsidRPr="00E0697F">
        <w:rPr>
          <w:rFonts w:ascii="Arial" w:hAnsi="Arial" w:cs="Arial"/>
          <w:b/>
          <w:bCs/>
        </w:rPr>
        <w:t>Task 7 – Public and Institutional Consultation</w:t>
      </w:r>
    </w:p>
    <w:p w14:paraId="7DAE3AE7" w14:textId="4254A095" w:rsidR="003A72E2" w:rsidRPr="00E0697F" w:rsidRDefault="003A72E2" w:rsidP="00AB67B9">
      <w:pPr>
        <w:spacing w:after="120" w:line="360" w:lineRule="auto"/>
        <w:rPr>
          <w:rFonts w:ascii="Arial" w:hAnsi="Arial" w:cs="Arial"/>
        </w:rPr>
      </w:pPr>
      <w:r w:rsidRPr="00E0697F">
        <w:rPr>
          <w:rFonts w:ascii="Arial" w:hAnsi="Arial" w:cs="Arial"/>
        </w:rPr>
        <w:t xml:space="preserve">The </w:t>
      </w:r>
      <w:r w:rsidR="009D40D6">
        <w:rPr>
          <w:rFonts w:ascii="Arial" w:hAnsi="Arial" w:cs="Arial"/>
        </w:rPr>
        <w:t xml:space="preserve">locally contracted expert </w:t>
      </w:r>
      <w:r w:rsidRPr="00E0697F">
        <w:rPr>
          <w:rFonts w:ascii="Arial" w:hAnsi="Arial" w:cs="Arial"/>
        </w:rPr>
        <w:t>shall:</w:t>
      </w:r>
    </w:p>
    <w:p w14:paraId="2016B85D" w14:textId="4DA42B4F" w:rsidR="003A72E2" w:rsidRPr="00E0697F" w:rsidRDefault="003A72E2" w:rsidP="00AB67B9">
      <w:pPr>
        <w:numPr>
          <w:ilvl w:val="0"/>
          <w:numId w:val="33"/>
        </w:numPr>
        <w:spacing w:after="120" w:line="360" w:lineRule="auto"/>
        <w:rPr>
          <w:rFonts w:ascii="Arial" w:hAnsi="Arial" w:cs="Arial"/>
        </w:rPr>
      </w:pPr>
      <w:r w:rsidRPr="00E0697F">
        <w:rPr>
          <w:rFonts w:ascii="Arial" w:hAnsi="Arial" w:cs="Arial"/>
        </w:rPr>
        <w:t>support the organization of public consultations</w:t>
      </w:r>
      <w:r w:rsidR="002B3AE4">
        <w:rPr>
          <w:rFonts w:ascii="Arial" w:hAnsi="Arial" w:cs="Arial"/>
        </w:rPr>
        <w:t xml:space="preserve"> </w:t>
      </w:r>
      <w:r w:rsidR="002B3AE4" w:rsidRPr="00CA219A">
        <w:rPr>
          <w:rFonts w:ascii="Arial" w:hAnsi="Arial" w:cs="Arial"/>
        </w:rPr>
        <w:t>(e.g. ministries, municipalities, civil society, transport operators, environmental NGOs)</w:t>
      </w:r>
      <w:r w:rsidRPr="00E0697F">
        <w:rPr>
          <w:rFonts w:ascii="Arial" w:hAnsi="Arial" w:cs="Arial"/>
        </w:rPr>
        <w:t xml:space="preserve">; </w:t>
      </w:r>
    </w:p>
    <w:p w14:paraId="22AB98C9" w14:textId="77777777" w:rsidR="003A72E2" w:rsidRPr="00E0697F" w:rsidRDefault="003A72E2" w:rsidP="00AB67B9">
      <w:pPr>
        <w:numPr>
          <w:ilvl w:val="0"/>
          <w:numId w:val="33"/>
        </w:numPr>
        <w:spacing w:after="120" w:line="360" w:lineRule="auto"/>
        <w:rPr>
          <w:rFonts w:ascii="Arial" w:hAnsi="Arial" w:cs="Arial"/>
        </w:rPr>
      </w:pPr>
      <w:r w:rsidRPr="00E0697F">
        <w:rPr>
          <w:rFonts w:ascii="Arial" w:hAnsi="Arial" w:cs="Arial"/>
        </w:rPr>
        <w:t xml:space="preserve">prepare presentation materials; </w:t>
      </w:r>
    </w:p>
    <w:p w14:paraId="2C11180F" w14:textId="77777777" w:rsidR="003A72E2" w:rsidRPr="00E0697F" w:rsidRDefault="003A72E2" w:rsidP="00AB67B9">
      <w:pPr>
        <w:numPr>
          <w:ilvl w:val="0"/>
          <w:numId w:val="33"/>
        </w:numPr>
        <w:spacing w:after="120" w:line="360" w:lineRule="auto"/>
        <w:rPr>
          <w:rFonts w:ascii="Arial" w:hAnsi="Arial" w:cs="Arial"/>
        </w:rPr>
      </w:pPr>
      <w:r w:rsidRPr="00E0697F">
        <w:rPr>
          <w:rFonts w:ascii="Arial" w:hAnsi="Arial" w:cs="Arial"/>
        </w:rPr>
        <w:t xml:space="preserve">document comments and recommendations; </w:t>
      </w:r>
    </w:p>
    <w:p w14:paraId="26D4C467" w14:textId="77777777" w:rsidR="003A72E2" w:rsidRPr="00E0697F" w:rsidRDefault="003A72E2" w:rsidP="00AB67B9">
      <w:pPr>
        <w:numPr>
          <w:ilvl w:val="0"/>
          <w:numId w:val="33"/>
        </w:numPr>
        <w:spacing w:after="120" w:line="360" w:lineRule="auto"/>
        <w:rPr>
          <w:rFonts w:ascii="Arial" w:hAnsi="Arial" w:cs="Arial"/>
        </w:rPr>
      </w:pPr>
      <w:r w:rsidRPr="00E0697F">
        <w:rPr>
          <w:rFonts w:ascii="Arial" w:hAnsi="Arial" w:cs="Arial"/>
        </w:rPr>
        <w:t xml:space="preserve">integrate relevant comments into the final SEA report. </w:t>
      </w:r>
    </w:p>
    <w:p w14:paraId="4B7F6BCC" w14:textId="298869DE" w:rsidR="003A72E2" w:rsidRPr="00E0697F" w:rsidRDefault="003A72E2" w:rsidP="00AB67B9">
      <w:pPr>
        <w:spacing w:after="120" w:line="360" w:lineRule="auto"/>
        <w:jc w:val="both"/>
        <w:rPr>
          <w:rFonts w:ascii="Arial" w:hAnsi="Arial" w:cs="Arial"/>
        </w:rPr>
      </w:pPr>
      <w:r w:rsidRPr="00E0697F">
        <w:rPr>
          <w:rFonts w:ascii="Arial" w:hAnsi="Arial" w:cs="Arial"/>
        </w:rPr>
        <w:t>The consultation process shall be conducted in accordance with the requirements of CMD No. 219, dated 11.03.2015</w:t>
      </w:r>
      <w:r w:rsidR="00831C80">
        <w:rPr>
          <w:rStyle w:val="FootnoteReference"/>
          <w:rFonts w:ascii="Arial" w:hAnsi="Arial" w:cs="Arial"/>
        </w:rPr>
        <w:footnoteReference w:id="3"/>
      </w:r>
      <w:r w:rsidRPr="00E0697F">
        <w:rPr>
          <w:rFonts w:ascii="Arial" w:hAnsi="Arial" w:cs="Arial"/>
        </w:rPr>
        <w:t>.</w:t>
      </w:r>
    </w:p>
    <w:p w14:paraId="72575CC7" w14:textId="43A13E75" w:rsidR="003A72E2" w:rsidRPr="00E0697F" w:rsidRDefault="003A72E2" w:rsidP="00AB67B9">
      <w:pPr>
        <w:spacing w:after="120" w:line="360" w:lineRule="auto"/>
        <w:jc w:val="both"/>
        <w:rPr>
          <w:rFonts w:ascii="Arial" w:hAnsi="Arial" w:cs="Arial"/>
        </w:rPr>
      </w:pPr>
      <w:r w:rsidRPr="00E0697F">
        <w:rPr>
          <w:rFonts w:ascii="Arial" w:hAnsi="Arial" w:cs="Arial"/>
        </w:rPr>
        <w:t xml:space="preserve">If potential transboundary impacts are identified during the process, the </w:t>
      </w:r>
      <w:r w:rsidR="00DF00CD">
        <w:rPr>
          <w:rFonts w:ascii="Arial" w:hAnsi="Arial" w:cs="Arial"/>
        </w:rPr>
        <w:t xml:space="preserve">locally contracted </w:t>
      </w:r>
      <w:proofErr w:type="gramStart"/>
      <w:r w:rsidR="00DF00CD">
        <w:rPr>
          <w:rFonts w:ascii="Arial" w:hAnsi="Arial" w:cs="Arial"/>
        </w:rPr>
        <w:t xml:space="preserve">expert </w:t>
      </w:r>
      <w:r w:rsidRPr="00E0697F">
        <w:rPr>
          <w:rFonts w:ascii="Arial" w:hAnsi="Arial" w:cs="Arial"/>
        </w:rPr>
        <w:t xml:space="preserve"> shall</w:t>
      </w:r>
      <w:proofErr w:type="gramEnd"/>
      <w:r w:rsidRPr="00E0697F">
        <w:rPr>
          <w:rFonts w:ascii="Arial" w:hAnsi="Arial" w:cs="Arial"/>
        </w:rPr>
        <w:t xml:space="preserve"> support the responsible institutions in the relevant procedures in accordance with the ESPOO Convention and the Kiev Protocol.</w:t>
      </w:r>
    </w:p>
    <w:p w14:paraId="7364CC9D" w14:textId="66ED7E54" w:rsidR="00FB0498" w:rsidRPr="00E0697F" w:rsidRDefault="00FB0498" w:rsidP="00AB67B9">
      <w:pPr>
        <w:spacing w:after="120" w:line="360" w:lineRule="auto"/>
        <w:rPr>
          <w:rFonts w:ascii="Arial" w:hAnsi="Arial" w:cs="Arial"/>
        </w:rPr>
      </w:pPr>
      <w:r w:rsidRPr="00E0697F">
        <w:rPr>
          <w:rFonts w:ascii="Arial" w:hAnsi="Arial" w:cs="Arial"/>
        </w:rPr>
        <w:t xml:space="preserve">The methodology </w:t>
      </w:r>
      <w:r w:rsidR="007F65CA">
        <w:rPr>
          <w:rFonts w:ascii="Arial" w:hAnsi="Arial" w:cs="Arial"/>
        </w:rPr>
        <w:t>for SEA</w:t>
      </w:r>
      <w:r w:rsidRPr="00E0697F">
        <w:rPr>
          <w:rFonts w:ascii="Arial" w:hAnsi="Arial" w:cs="Arial"/>
        </w:rPr>
        <w:t xml:space="preserve"> shall comply with:</w:t>
      </w:r>
    </w:p>
    <w:p w14:paraId="7D0A9EBD" w14:textId="77777777" w:rsidR="00FB0498" w:rsidRPr="00E0697F" w:rsidRDefault="00FB0498" w:rsidP="00AB67B9">
      <w:pPr>
        <w:numPr>
          <w:ilvl w:val="0"/>
          <w:numId w:val="34"/>
        </w:numPr>
        <w:spacing w:after="120" w:line="360" w:lineRule="auto"/>
        <w:rPr>
          <w:rFonts w:ascii="Arial" w:hAnsi="Arial" w:cs="Arial"/>
        </w:rPr>
      </w:pPr>
      <w:r w:rsidRPr="00E0697F">
        <w:rPr>
          <w:rFonts w:ascii="Arial" w:hAnsi="Arial" w:cs="Arial"/>
        </w:rPr>
        <w:t xml:space="preserve">Law No. 91/2013 “On Strategic Environmental Assessment”; </w:t>
      </w:r>
    </w:p>
    <w:p w14:paraId="1B78B4AB" w14:textId="77777777" w:rsidR="00FB0498" w:rsidRPr="00E0697F" w:rsidRDefault="00FB0498" w:rsidP="00AB67B9">
      <w:pPr>
        <w:numPr>
          <w:ilvl w:val="0"/>
          <w:numId w:val="34"/>
        </w:numPr>
        <w:spacing w:after="120" w:line="360" w:lineRule="auto"/>
        <w:rPr>
          <w:rFonts w:ascii="Arial" w:hAnsi="Arial" w:cs="Arial"/>
        </w:rPr>
      </w:pPr>
      <w:r w:rsidRPr="00E0697F">
        <w:rPr>
          <w:rFonts w:ascii="Arial" w:hAnsi="Arial" w:cs="Arial"/>
        </w:rPr>
        <w:t xml:space="preserve">Directive 2001/42/EC; </w:t>
      </w:r>
    </w:p>
    <w:p w14:paraId="00B7CF47" w14:textId="77777777" w:rsidR="00FB0498" w:rsidRPr="00E0697F" w:rsidRDefault="00FB0498" w:rsidP="00AB67B9">
      <w:pPr>
        <w:numPr>
          <w:ilvl w:val="0"/>
          <w:numId w:val="34"/>
        </w:numPr>
        <w:spacing w:after="120" w:line="360" w:lineRule="auto"/>
        <w:rPr>
          <w:rFonts w:ascii="Arial" w:hAnsi="Arial" w:cs="Arial"/>
        </w:rPr>
      </w:pPr>
      <w:r w:rsidRPr="00E0697F">
        <w:rPr>
          <w:rFonts w:ascii="Arial" w:hAnsi="Arial" w:cs="Arial"/>
        </w:rPr>
        <w:t xml:space="preserve">European Union SEA practices and guidelines. </w:t>
      </w:r>
    </w:p>
    <w:p w14:paraId="13CB3A39" w14:textId="77777777" w:rsidR="00FB0498" w:rsidRPr="00E0697F" w:rsidRDefault="00FB0498" w:rsidP="00AB67B9">
      <w:pPr>
        <w:spacing w:after="120" w:line="360" w:lineRule="auto"/>
        <w:rPr>
          <w:rFonts w:ascii="Arial" w:hAnsi="Arial" w:cs="Arial"/>
        </w:rPr>
      </w:pPr>
    </w:p>
    <w:p w14:paraId="26D58F8D" w14:textId="12917CD3" w:rsidR="00F73B8C" w:rsidRPr="00E0697F" w:rsidRDefault="00617784" w:rsidP="00CC7F1E">
      <w:pPr>
        <w:pStyle w:val="ListParagraph"/>
        <w:numPr>
          <w:ilvl w:val="0"/>
          <w:numId w:val="1"/>
        </w:numPr>
        <w:spacing w:after="120" w:line="360" w:lineRule="auto"/>
        <w:ind w:left="567" w:hanging="567"/>
        <w:contextualSpacing w:val="0"/>
        <w:jc w:val="both"/>
        <w:rPr>
          <w:rFonts w:ascii="Arial" w:hAnsi="Arial" w:cs="Arial"/>
          <w:b/>
          <w:bCs/>
        </w:rPr>
      </w:pPr>
      <w:r w:rsidRPr="00E0697F">
        <w:rPr>
          <w:rFonts w:ascii="Arial" w:hAnsi="Arial" w:cs="Arial"/>
          <w:b/>
          <w:bCs/>
        </w:rPr>
        <w:lastRenderedPageBreak/>
        <w:t>Deliverables</w:t>
      </w:r>
    </w:p>
    <w:p w14:paraId="1D16E840" w14:textId="77777777" w:rsidR="00F75A83" w:rsidRPr="00E0697F" w:rsidRDefault="00F75A83" w:rsidP="00CC7F1E">
      <w:pPr>
        <w:pStyle w:val="ListParagraph"/>
        <w:spacing w:after="120" w:line="360" w:lineRule="auto"/>
        <w:ind w:left="0"/>
        <w:contextualSpacing w:val="0"/>
        <w:jc w:val="both"/>
        <w:rPr>
          <w:rFonts w:ascii="Arial" w:hAnsi="Arial" w:cs="Arial"/>
        </w:rPr>
      </w:pPr>
      <w:r w:rsidRPr="00E0697F">
        <w:rPr>
          <w:rFonts w:ascii="Arial" w:hAnsi="Arial" w:cs="Arial"/>
        </w:rPr>
        <w:t xml:space="preserve">The expected deliverables are: </w:t>
      </w:r>
    </w:p>
    <w:p w14:paraId="27E09B64" w14:textId="6C6F5EE8" w:rsidR="00433271" w:rsidRPr="00E0697F" w:rsidRDefault="00433271" w:rsidP="00AB67B9">
      <w:pPr>
        <w:spacing w:after="120" w:line="360" w:lineRule="auto"/>
        <w:rPr>
          <w:rFonts w:ascii="Arial" w:hAnsi="Arial" w:cs="Arial"/>
          <w:b/>
          <w:bCs/>
        </w:rPr>
      </w:pPr>
      <w:r w:rsidRPr="00E0697F">
        <w:rPr>
          <w:rFonts w:ascii="Arial" w:hAnsi="Arial" w:cs="Arial"/>
          <w:b/>
          <w:bCs/>
        </w:rPr>
        <w:t>Deliverable 1 – Inception Report</w:t>
      </w:r>
      <w:r w:rsidR="009123B2">
        <w:rPr>
          <w:rFonts w:ascii="Arial" w:hAnsi="Arial" w:cs="Arial"/>
          <w:b/>
          <w:bCs/>
        </w:rPr>
        <w:t xml:space="preserve"> (10 working days)</w:t>
      </w:r>
    </w:p>
    <w:p w14:paraId="6EB617E7" w14:textId="77777777" w:rsidR="00433271" w:rsidRPr="00E0697F" w:rsidRDefault="00433271" w:rsidP="00AB67B9">
      <w:pPr>
        <w:spacing w:after="120" w:line="360" w:lineRule="auto"/>
        <w:rPr>
          <w:rFonts w:ascii="Arial" w:hAnsi="Arial" w:cs="Arial"/>
        </w:rPr>
      </w:pPr>
      <w:r w:rsidRPr="00E0697F">
        <w:rPr>
          <w:rFonts w:ascii="Arial" w:hAnsi="Arial" w:cs="Arial"/>
        </w:rPr>
        <w:t>Includes:</w:t>
      </w:r>
    </w:p>
    <w:p w14:paraId="5ABFEB2F" w14:textId="77777777" w:rsidR="00433271" w:rsidRPr="00E0697F" w:rsidRDefault="00433271" w:rsidP="00AB67B9">
      <w:pPr>
        <w:numPr>
          <w:ilvl w:val="0"/>
          <w:numId w:val="37"/>
        </w:numPr>
        <w:spacing w:after="120" w:line="360" w:lineRule="auto"/>
        <w:rPr>
          <w:rFonts w:ascii="Arial" w:hAnsi="Arial" w:cs="Arial"/>
        </w:rPr>
      </w:pPr>
      <w:r w:rsidRPr="00E0697F">
        <w:rPr>
          <w:rFonts w:ascii="Arial" w:hAnsi="Arial" w:cs="Arial"/>
        </w:rPr>
        <w:t xml:space="preserve">methodology; </w:t>
      </w:r>
    </w:p>
    <w:p w14:paraId="0FAE4411" w14:textId="77777777" w:rsidR="00433271" w:rsidRPr="00E0697F" w:rsidRDefault="00433271" w:rsidP="00AB67B9">
      <w:pPr>
        <w:numPr>
          <w:ilvl w:val="0"/>
          <w:numId w:val="37"/>
        </w:numPr>
        <w:spacing w:after="120" w:line="360" w:lineRule="auto"/>
        <w:rPr>
          <w:rFonts w:ascii="Arial" w:hAnsi="Arial" w:cs="Arial"/>
        </w:rPr>
      </w:pPr>
      <w:r w:rsidRPr="00E0697F">
        <w:rPr>
          <w:rFonts w:ascii="Arial" w:hAnsi="Arial" w:cs="Arial"/>
        </w:rPr>
        <w:t xml:space="preserve">work plan; </w:t>
      </w:r>
    </w:p>
    <w:p w14:paraId="2B75F96C" w14:textId="77777777" w:rsidR="00433271" w:rsidRPr="00E0697F" w:rsidRDefault="00433271" w:rsidP="00AB67B9">
      <w:pPr>
        <w:numPr>
          <w:ilvl w:val="0"/>
          <w:numId w:val="37"/>
        </w:numPr>
        <w:spacing w:after="120" w:line="360" w:lineRule="auto"/>
        <w:rPr>
          <w:rFonts w:ascii="Arial" w:hAnsi="Arial" w:cs="Arial"/>
        </w:rPr>
      </w:pPr>
      <w:r w:rsidRPr="00E0697F">
        <w:rPr>
          <w:rFonts w:ascii="Arial" w:hAnsi="Arial" w:cs="Arial"/>
        </w:rPr>
        <w:t xml:space="preserve">report structure; </w:t>
      </w:r>
    </w:p>
    <w:p w14:paraId="67EE7561" w14:textId="77777777" w:rsidR="00433271" w:rsidRPr="00E0697F" w:rsidRDefault="00433271" w:rsidP="00AB67B9">
      <w:pPr>
        <w:numPr>
          <w:ilvl w:val="0"/>
          <w:numId w:val="37"/>
        </w:numPr>
        <w:spacing w:after="120" w:line="360" w:lineRule="auto"/>
        <w:rPr>
          <w:rFonts w:ascii="Arial" w:hAnsi="Arial" w:cs="Arial"/>
        </w:rPr>
      </w:pPr>
      <w:r w:rsidRPr="00E0697F">
        <w:rPr>
          <w:rFonts w:ascii="Arial" w:hAnsi="Arial" w:cs="Arial"/>
        </w:rPr>
        <w:t xml:space="preserve">consultation plan. </w:t>
      </w:r>
    </w:p>
    <w:p w14:paraId="7A6E9579" w14:textId="20497D46" w:rsidR="00433271" w:rsidRPr="00E0697F" w:rsidRDefault="00433271" w:rsidP="00AB67B9">
      <w:pPr>
        <w:spacing w:after="120" w:line="360" w:lineRule="auto"/>
        <w:rPr>
          <w:rFonts w:ascii="Arial" w:hAnsi="Arial" w:cs="Arial"/>
          <w:b/>
          <w:bCs/>
        </w:rPr>
      </w:pPr>
      <w:r w:rsidRPr="00E0697F">
        <w:rPr>
          <w:rFonts w:ascii="Arial" w:hAnsi="Arial" w:cs="Arial"/>
          <w:b/>
          <w:bCs/>
        </w:rPr>
        <w:t>Deliverable 2 – Draft SEA Report</w:t>
      </w:r>
      <w:r w:rsidR="009123B2">
        <w:rPr>
          <w:rFonts w:ascii="Arial" w:hAnsi="Arial" w:cs="Arial"/>
          <w:b/>
          <w:bCs/>
        </w:rPr>
        <w:t xml:space="preserve"> (20 working days)</w:t>
      </w:r>
    </w:p>
    <w:p w14:paraId="7F693272" w14:textId="77777777" w:rsidR="00433271" w:rsidRPr="00E0697F" w:rsidRDefault="00433271" w:rsidP="00AB67B9">
      <w:pPr>
        <w:spacing w:after="120" w:line="360" w:lineRule="auto"/>
        <w:rPr>
          <w:rFonts w:ascii="Arial" w:hAnsi="Arial" w:cs="Arial"/>
        </w:rPr>
      </w:pPr>
      <w:r w:rsidRPr="00E0697F">
        <w:rPr>
          <w:rFonts w:ascii="Arial" w:hAnsi="Arial" w:cs="Arial"/>
        </w:rPr>
        <w:t>Includes:</w:t>
      </w:r>
    </w:p>
    <w:p w14:paraId="01C14A69" w14:textId="77777777" w:rsidR="00433271" w:rsidRPr="00E0697F" w:rsidRDefault="00433271" w:rsidP="00AB67B9">
      <w:pPr>
        <w:numPr>
          <w:ilvl w:val="0"/>
          <w:numId w:val="38"/>
        </w:numPr>
        <w:spacing w:after="120" w:line="360" w:lineRule="auto"/>
        <w:rPr>
          <w:rFonts w:ascii="Arial" w:hAnsi="Arial" w:cs="Arial"/>
        </w:rPr>
      </w:pPr>
      <w:r w:rsidRPr="00E0697F">
        <w:rPr>
          <w:rFonts w:ascii="Arial" w:hAnsi="Arial" w:cs="Arial"/>
        </w:rPr>
        <w:t xml:space="preserve">analysis of existing conditions; </w:t>
      </w:r>
    </w:p>
    <w:p w14:paraId="6F504F85" w14:textId="77777777" w:rsidR="00433271" w:rsidRPr="00E0697F" w:rsidRDefault="00433271" w:rsidP="00AB67B9">
      <w:pPr>
        <w:numPr>
          <w:ilvl w:val="0"/>
          <w:numId w:val="38"/>
        </w:numPr>
        <w:spacing w:after="120" w:line="360" w:lineRule="auto"/>
        <w:rPr>
          <w:rFonts w:ascii="Arial" w:hAnsi="Arial" w:cs="Arial"/>
        </w:rPr>
      </w:pPr>
      <w:r w:rsidRPr="00E0697F">
        <w:rPr>
          <w:rFonts w:ascii="Arial" w:hAnsi="Arial" w:cs="Arial"/>
        </w:rPr>
        <w:t xml:space="preserve">impact assessment; </w:t>
      </w:r>
    </w:p>
    <w:p w14:paraId="7707960E" w14:textId="77777777" w:rsidR="00433271" w:rsidRPr="00E0697F" w:rsidRDefault="00433271" w:rsidP="00AB67B9">
      <w:pPr>
        <w:numPr>
          <w:ilvl w:val="0"/>
          <w:numId w:val="38"/>
        </w:numPr>
        <w:spacing w:after="120" w:line="360" w:lineRule="auto"/>
        <w:rPr>
          <w:rFonts w:ascii="Arial" w:hAnsi="Arial" w:cs="Arial"/>
        </w:rPr>
      </w:pPr>
      <w:r w:rsidRPr="00E0697F">
        <w:rPr>
          <w:rFonts w:ascii="Arial" w:hAnsi="Arial" w:cs="Arial"/>
        </w:rPr>
        <w:t xml:space="preserve">alternatives analysis; </w:t>
      </w:r>
    </w:p>
    <w:p w14:paraId="791487DA" w14:textId="77777777" w:rsidR="00433271" w:rsidRPr="00E0697F" w:rsidRDefault="00433271" w:rsidP="00AB67B9">
      <w:pPr>
        <w:numPr>
          <w:ilvl w:val="0"/>
          <w:numId w:val="38"/>
        </w:numPr>
        <w:spacing w:after="120" w:line="360" w:lineRule="auto"/>
        <w:rPr>
          <w:rFonts w:ascii="Arial" w:hAnsi="Arial" w:cs="Arial"/>
        </w:rPr>
      </w:pPr>
      <w:r w:rsidRPr="00E0697F">
        <w:rPr>
          <w:rFonts w:ascii="Arial" w:hAnsi="Arial" w:cs="Arial"/>
        </w:rPr>
        <w:t xml:space="preserve">mitigation measures; </w:t>
      </w:r>
    </w:p>
    <w:p w14:paraId="23AC9E46" w14:textId="77777777" w:rsidR="00433271" w:rsidRPr="00E0697F" w:rsidRDefault="00433271" w:rsidP="00AB67B9">
      <w:pPr>
        <w:numPr>
          <w:ilvl w:val="0"/>
          <w:numId w:val="38"/>
        </w:numPr>
        <w:spacing w:after="120" w:line="360" w:lineRule="auto"/>
        <w:rPr>
          <w:rFonts w:ascii="Arial" w:hAnsi="Arial" w:cs="Arial"/>
        </w:rPr>
      </w:pPr>
      <w:r w:rsidRPr="00E0697F">
        <w:rPr>
          <w:rFonts w:ascii="Arial" w:hAnsi="Arial" w:cs="Arial"/>
        </w:rPr>
        <w:t xml:space="preserve">monitoring program; </w:t>
      </w:r>
    </w:p>
    <w:p w14:paraId="3040A272" w14:textId="77777777" w:rsidR="00433271" w:rsidRPr="00E0697F" w:rsidRDefault="00433271" w:rsidP="00AB67B9">
      <w:pPr>
        <w:numPr>
          <w:ilvl w:val="0"/>
          <w:numId w:val="38"/>
        </w:numPr>
        <w:spacing w:after="120" w:line="360" w:lineRule="auto"/>
        <w:rPr>
          <w:rFonts w:ascii="Arial" w:hAnsi="Arial" w:cs="Arial"/>
        </w:rPr>
      </w:pPr>
      <w:r w:rsidRPr="00E0697F">
        <w:rPr>
          <w:rFonts w:ascii="Arial" w:hAnsi="Arial" w:cs="Arial"/>
        </w:rPr>
        <w:t xml:space="preserve">non-technical summary. </w:t>
      </w:r>
    </w:p>
    <w:p w14:paraId="5D680431" w14:textId="31CC7278" w:rsidR="00433271" w:rsidRPr="00E0697F" w:rsidRDefault="00433271" w:rsidP="00AB67B9">
      <w:pPr>
        <w:spacing w:after="120" w:line="360" w:lineRule="auto"/>
        <w:rPr>
          <w:rFonts w:ascii="Arial" w:hAnsi="Arial" w:cs="Arial"/>
          <w:b/>
          <w:bCs/>
        </w:rPr>
      </w:pPr>
      <w:r w:rsidRPr="00E0697F">
        <w:rPr>
          <w:rFonts w:ascii="Arial" w:hAnsi="Arial" w:cs="Arial"/>
          <w:b/>
          <w:bCs/>
        </w:rPr>
        <w:t>Deliverable 3 – Final SEA Report</w:t>
      </w:r>
      <w:r w:rsidR="009123B2">
        <w:rPr>
          <w:rFonts w:ascii="Arial" w:hAnsi="Arial" w:cs="Arial"/>
          <w:b/>
          <w:bCs/>
        </w:rPr>
        <w:t xml:space="preserve"> (10 working days)</w:t>
      </w:r>
    </w:p>
    <w:p w14:paraId="7A75AD5B" w14:textId="77777777" w:rsidR="00433271" w:rsidRPr="00E0697F" w:rsidRDefault="00433271" w:rsidP="00AB67B9">
      <w:pPr>
        <w:spacing w:after="120" w:line="360" w:lineRule="auto"/>
        <w:rPr>
          <w:rFonts w:ascii="Arial" w:hAnsi="Arial" w:cs="Arial"/>
        </w:rPr>
      </w:pPr>
      <w:r w:rsidRPr="00E0697F">
        <w:rPr>
          <w:rFonts w:ascii="Arial" w:hAnsi="Arial" w:cs="Arial"/>
        </w:rPr>
        <w:t>Includes:</w:t>
      </w:r>
    </w:p>
    <w:p w14:paraId="0F8868EF" w14:textId="77777777" w:rsidR="00433271" w:rsidRPr="00E0697F" w:rsidRDefault="00433271" w:rsidP="00AB67B9">
      <w:pPr>
        <w:numPr>
          <w:ilvl w:val="0"/>
          <w:numId w:val="39"/>
        </w:numPr>
        <w:spacing w:after="120" w:line="360" w:lineRule="auto"/>
        <w:rPr>
          <w:rFonts w:ascii="Arial" w:hAnsi="Arial" w:cs="Arial"/>
        </w:rPr>
      </w:pPr>
      <w:r w:rsidRPr="00E0697F">
        <w:rPr>
          <w:rFonts w:ascii="Arial" w:hAnsi="Arial" w:cs="Arial"/>
        </w:rPr>
        <w:t xml:space="preserve">integrated comments and recommendations; </w:t>
      </w:r>
    </w:p>
    <w:p w14:paraId="7F2E4973" w14:textId="77777777" w:rsidR="00433271" w:rsidRPr="00E0697F" w:rsidRDefault="00433271" w:rsidP="00AB67B9">
      <w:pPr>
        <w:numPr>
          <w:ilvl w:val="0"/>
          <w:numId w:val="39"/>
        </w:numPr>
        <w:spacing w:after="120" w:line="360" w:lineRule="auto"/>
        <w:rPr>
          <w:rFonts w:ascii="Arial" w:hAnsi="Arial" w:cs="Arial"/>
        </w:rPr>
      </w:pPr>
      <w:r w:rsidRPr="00E0697F">
        <w:rPr>
          <w:rFonts w:ascii="Arial" w:hAnsi="Arial" w:cs="Arial"/>
        </w:rPr>
        <w:t xml:space="preserve">final consultation report; </w:t>
      </w:r>
    </w:p>
    <w:p w14:paraId="2DC4BC8F" w14:textId="77777777" w:rsidR="00433271" w:rsidRPr="00E0697F" w:rsidRDefault="00433271" w:rsidP="00AB67B9">
      <w:pPr>
        <w:numPr>
          <w:ilvl w:val="0"/>
          <w:numId w:val="39"/>
        </w:numPr>
        <w:spacing w:after="120" w:line="360" w:lineRule="auto"/>
        <w:rPr>
          <w:rFonts w:ascii="Arial" w:hAnsi="Arial" w:cs="Arial"/>
        </w:rPr>
      </w:pPr>
      <w:r w:rsidRPr="00E0697F">
        <w:rPr>
          <w:rFonts w:ascii="Arial" w:hAnsi="Arial" w:cs="Arial"/>
        </w:rPr>
        <w:t xml:space="preserve">final version for approval. </w:t>
      </w:r>
    </w:p>
    <w:p w14:paraId="1187F577" w14:textId="77777777" w:rsidR="00433271" w:rsidRPr="00E0697F" w:rsidRDefault="00433271" w:rsidP="00CC7F1E">
      <w:pPr>
        <w:spacing w:after="120" w:line="360" w:lineRule="auto"/>
        <w:jc w:val="both"/>
        <w:rPr>
          <w:rFonts w:ascii="Arial" w:hAnsi="Arial" w:cs="Arial"/>
          <w:b/>
          <w:bCs/>
        </w:rPr>
      </w:pPr>
    </w:p>
    <w:p w14:paraId="4A589C2A" w14:textId="6BFD0686" w:rsidR="00564F78" w:rsidRPr="00E0697F" w:rsidRDefault="00FE79E9" w:rsidP="00CC7F1E">
      <w:pPr>
        <w:pStyle w:val="ListParagraph"/>
        <w:numPr>
          <w:ilvl w:val="0"/>
          <w:numId w:val="1"/>
        </w:numPr>
        <w:spacing w:after="120" w:line="360" w:lineRule="auto"/>
        <w:ind w:left="567" w:hanging="567"/>
        <w:contextualSpacing w:val="0"/>
        <w:jc w:val="both"/>
        <w:rPr>
          <w:rFonts w:ascii="Arial" w:hAnsi="Arial" w:cs="Arial"/>
          <w:b/>
          <w:bCs/>
        </w:rPr>
      </w:pPr>
      <w:r w:rsidRPr="00E0697F">
        <w:rPr>
          <w:rFonts w:ascii="Arial" w:hAnsi="Arial" w:cs="Arial"/>
          <w:b/>
          <w:bCs/>
        </w:rPr>
        <w:t xml:space="preserve">Qualifications </w:t>
      </w:r>
      <w:r w:rsidR="00F541EB" w:rsidRPr="00E0697F">
        <w:rPr>
          <w:rFonts w:ascii="Arial" w:hAnsi="Arial" w:cs="Arial"/>
          <w:b/>
          <w:bCs/>
        </w:rPr>
        <w:t>and exclusion criteria</w:t>
      </w:r>
    </w:p>
    <w:p w14:paraId="73801366" w14:textId="77777777" w:rsidR="00564F78" w:rsidRPr="00E0697F" w:rsidRDefault="00564F78" w:rsidP="00AB67B9">
      <w:pPr>
        <w:spacing w:after="120" w:line="360" w:lineRule="auto"/>
        <w:rPr>
          <w:rFonts w:ascii="Arial" w:hAnsi="Arial" w:cs="Arial"/>
        </w:rPr>
      </w:pPr>
      <w:r w:rsidRPr="00E0697F">
        <w:rPr>
          <w:rFonts w:ascii="Arial" w:hAnsi="Arial" w:cs="Arial"/>
        </w:rPr>
        <w:t>The service shall be carried out by a single expert with the following profile:</w:t>
      </w:r>
    </w:p>
    <w:p w14:paraId="13751AE8" w14:textId="77777777" w:rsidR="00564F78" w:rsidRPr="00E0697F" w:rsidRDefault="00564F78" w:rsidP="00AB67B9">
      <w:pPr>
        <w:numPr>
          <w:ilvl w:val="0"/>
          <w:numId w:val="40"/>
        </w:numPr>
        <w:spacing w:after="120" w:line="360" w:lineRule="auto"/>
        <w:rPr>
          <w:rFonts w:ascii="Arial" w:hAnsi="Arial" w:cs="Arial"/>
        </w:rPr>
      </w:pPr>
      <w:r w:rsidRPr="00E0697F">
        <w:rPr>
          <w:rFonts w:ascii="Arial" w:hAnsi="Arial" w:cs="Arial"/>
        </w:rPr>
        <w:lastRenderedPageBreak/>
        <w:t xml:space="preserve">Strategic Environmental Assessment (SEA) / Environmental and Social Impact Assessment (ESIA) Expert. </w:t>
      </w:r>
    </w:p>
    <w:p w14:paraId="0E95EAA9" w14:textId="77777777" w:rsidR="00564F78" w:rsidRPr="00E0697F" w:rsidRDefault="00564F78" w:rsidP="00AB67B9">
      <w:pPr>
        <w:spacing w:after="120" w:line="360" w:lineRule="auto"/>
        <w:rPr>
          <w:rFonts w:ascii="Arial" w:hAnsi="Arial" w:cs="Arial"/>
        </w:rPr>
      </w:pPr>
      <w:r w:rsidRPr="00E0697F">
        <w:rPr>
          <w:rFonts w:ascii="Arial" w:hAnsi="Arial" w:cs="Arial"/>
        </w:rPr>
        <w:t>The expert shall meet at least the following criteria:</w:t>
      </w:r>
    </w:p>
    <w:p w14:paraId="28624D60" w14:textId="3D88DF7B" w:rsidR="00564F78" w:rsidRDefault="00564F78" w:rsidP="00AB67B9">
      <w:pPr>
        <w:numPr>
          <w:ilvl w:val="0"/>
          <w:numId w:val="42"/>
        </w:numPr>
        <w:spacing w:after="120" w:line="360" w:lineRule="auto"/>
        <w:rPr>
          <w:rFonts w:ascii="Arial" w:hAnsi="Arial" w:cs="Arial"/>
        </w:rPr>
      </w:pPr>
      <w:r w:rsidRPr="00E0697F">
        <w:rPr>
          <w:rFonts w:ascii="Arial" w:hAnsi="Arial" w:cs="Arial"/>
        </w:rPr>
        <w:t xml:space="preserve">University degree in environmental sciences, environmental engineering, spatial planning, or related fields </w:t>
      </w:r>
    </w:p>
    <w:p w14:paraId="2BCF45C0" w14:textId="61C796D7" w:rsidR="00456B68" w:rsidRPr="00AB67B9" w:rsidRDefault="00456B68" w:rsidP="00AB67B9">
      <w:pPr>
        <w:numPr>
          <w:ilvl w:val="0"/>
          <w:numId w:val="42"/>
        </w:numPr>
        <w:spacing w:after="120" w:line="360" w:lineRule="auto"/>
        <w:rPr>
          <w:rFonts w:ascii="Arial" w:hAnsi="Arial" w:cs="Arial"/>
        </w:rPr>
      </w:pPr>
      <w:r>
        <w:rPr>
          <w:rFonts w:ascii="Arial" w:hAnsi="Arial" w:cs="Arial"/>
        </w:rPr>
        <w:t>H</w:t>
      </w:r>
      <w:r w:rsidRPr="002B642D">
        <w:rPr>
          <w:rFonts w:ascii="Arial" w:hAnsi="Arial" w:cs="Arial"/>
        </w:rPr>
        <w:t>old a valid Environmental Assessment Certificate authorising the preparation of EIA/SEA studies in Albania</w:t>
      </w:r>
      <w:r>
        <w:rPr>
          <w:rFonts w:ascii="Arial" w:hAnsi="Arial" w:cs="Arial"/>
        </w:rPr>
        <w:t>.</w:t>
      </w:r>
    </w:p>
    <w:p w14:paraId="6FCF0DE0" w14:textId="77777777" w:rsidR="004C6D26" w:rsidRPr="00E07F80" w:rsidRDefault="004C6D26" w:rsidP="00CC7F1E">
      <w:pPr>
        <w:pStyle w:val="ListParagraph"/>
        <w:numPr>
          <w:ilvl w:val="0"/>
          <w:numId w:val="42"/>
        </w:numPr>
        <w:spacing w:after="120" w:line="360" w:lineRule="auto"/>
        <w:contextualSpacing w:val="0"/>
        <w:jc w:val="both"/>
        <w:rPr>
          <w:rFonts w:ascii="Arial" w:eastAsia="Times New Roman" w:hAnsi="Arial" w:cs="Arial"/>
        </w:rPr>
      </w:pPr>
      <w:r w:rsidRPr="00E07F80">
        <w:rPr>
          <w:rFonts w:ascii="Arial" w:eastAsia="Times New Roman" w:hAnsi="Arial" w:cs="Arial"/>
        </w:rPr>
        <w:t>Any professional working in the end-beneficiary institution is ineligible to apply.</w:t>
      </w:r>
    </w:p>
    <w:p w14:paraId="5E24B390" w14:textId="1BE5EF8A" w:rsidR="004C6D26" w:rsidRPr="00E0697F" w:rsidRDefault="0067755A" w:rsidP="00AB67B9">
      <w:pPr>
        <w:numPr>
          <w:ilvl w:val="0"/>
          <w:numId w:val="42"/>
        </w:numPr>
        <w:spacing w:after="120" w:line="360" w:lineRule="auto"/>
        <w:rPr>
          <w:rFonts w:ascii="Arial" w:hAnsi="Arial" w:cs="Arial"/>
        </w:rPr>
      </w:pPr>
      <w:r w:rsidRPr="0067755A">
        <w:rPr>
          <w:rFonts w:ascii="Arial" w:hAnsi="Arial" w:cs="Arial"/>
        </w:rPr>
        <w:t xml:space="preserve">Any expert submitting more than one application for the same assignment, shall be automatically excluded from the tender procedure. In cases where multiple applications involving the same expert are identified, all applications concerned </w:t>
      </w:r>
      <w:r w:rsidR="007041FB">
        <w:rPr>
          <w:rFonts w:ascii="Arial" w:hAnsi="Arial" w:cs="Arial"/>
        </w:rPr>
        <w:t>will</w:t>
      </w:r>
      <w:r w:rsidRPr="0067755A">
        <w:rPr>
          <w:rFonts w:ascii="Arial" w:hAnsi="Arial" w:cs="Arial"/>
        </w:rPr>
        <w:t xml:space="preserve"> be disqualified</w:t>
      </w:r>
    </w:p>
    <w:p w14:paraId="343DDA6D" w14:textId="7A3D21F7" w:rsidR="00EA3FE5" w:rsidRPr="00E0697F" w:rsidRDefault="00FE79E9" w:rsidP="00CC7F1E">
      <w:pPr>
        <w:pStyle w:val="ListParagraph"/>
        <w:numPr>
          <w:ilvl w:val="0"/>
          <w:numId w:val="1"/>
        </w:numPr>
        <w:spacing w:after="120" w:line="360" w:lineRule="auto"/>
        <w:ind w:left="567" w:hanging="567"/>
        <w:contextualSpacing w:val="0"/>
        <w:jc w:val="both"/>
        <w:rPr>
          <w:rFonts w:ascii="Arial" w:hAnsi="Arial" w:cs="Arial"/>
          <w:b/>
          <w:bCs/>
        </w:rPr>
      </w:pPr>
      <w:r w:rsidRPr="00E0697F">
        <w:rPr>
          <w:rFonts w:ascii="Arial" w:hAnsi="Arial" w:cs="Arial"/>
          <w:b/>
          <w:bCs/>
        </w:rPr>
        <w:t xml:space="preserve">Work experience </w:t>
      </w:r>
    </w:p>
    <w:p w14:paraId="58B0A2D3" w14:textId="5C5598C8" w:rsidR="00593CAA" w:rsidRDefault="00EA431D" w:rsidP="00AB67B9">
      <w:pPr>
        <w:numPr>
          <w:ilvl w:val="0"/>
          <w:numId w:val="2"/>
        </w:numPr>
        <w:spacing w:after="120" w:line="360" w:lineRule="auto"/>
        <w:jc w:val="both"/>
        <w:rPr>
          <w:rFonts w:ascii="Arial" w:hAnsi="Arial" w:cs="Arial"/>
        </w:rPr>
      </w:pPr>
      <w:r w:rsidRPr="00E0697F">
        <w:rPr>
          <w:rFonts w:ascii="Arial" w:hAnsi="Arial" w:cs="Arial"/>
        </w:rPr>
        <w:t>A minimum of 10 years of professional experience in the preparation of SEA/ESIA studies</w:t>
      </w:r>
      <w:r w:rsidR="00593CAA">
        <w:rPr>
          <w:rFonts w:ascii="Arial" w:hAnsi="Arial" w:cs="Arial"/>
        </w:rPr>
        <w:t>,</w:t>
      </w:r>
      <w:r w:rsidR="00593CAA" w:rsidRPr="00593CAA">
        <w:rPr>
          <w:rFonts w:ascii="Arial" w:hAnsi="Arial" w:cs="Arial"/>
        </w:rPr>
        <w:t xml:space="preserve"> </w:t>
      </w:r>
      <w:r w:rsidR="00593CAA" w:rsidRPr="00FF618A">
        <w:rPr>
          <w:rFonts w:ascii="Arial" w:hAnsi="Arial" w:cs="Arial"/>
        </w:rPr>
        <w:t>including proven experience in the development and successful approval of at least two (2) SEA and/or ESIA studies in accordance with Albanian national legislation within the past five (5) years. The expert should demonstrate familiarity with Albanian environmental assessment procedures, institutional requirements, stakeholder consultation processes, and coordination with competent authorities throughout the approval process</w:t>
      </w:r>
      <w:r w:rsidR="00593CAA" w:rsidRPr="00E0697F">
        <w:rPr>
          <w:rFonts w:ascii="Arial" w:hAnsi="Arial" w:cs="Arial"/>
        </w:rPr>
        <w:t>.</w:t>
      </w:r>
    </w:p>
    <w:p w14:paraId="1015BF83" w14:textId="71FDC57D" w:rsidR="00840648" w:rsidRPr="00E0697F" w:rsidRDefault="00840648" w:rsidP="00AB67B9">
      <w:pPr>
        <w:numPr>
          <w:ilvl w:val="0"/>
          <w:numId w:val="2"/>
        </w:numPr>
        <w:spacing w:after="120" w:line="360" w:lineRule="auto"/>
        <w:rPr>
          <w:rFonts w:ascii="Arial" w:hAnsi="Arial" w:cs="Arial"/>
        </w:rPr>
      </w:pPr>
      <w:r w:rsidRPr="00E0697F">
        <w:rPr>
          <w:rFonts w:ascii="Arial" w:hAnsi="Arial" w:cs="Arial"/>
        </w:rPr>
        <w:t xml:space="preserve">Experience in infrastructure or transport </w:t>
      </w:r>
      <w:r w:rsidR="00D2783B">
        <w:rPr>
          <w:rFonts w:ascii="Arial" w:hAnsi="Arial" w:cs="Arial"/>
        </w:rPr>
        <w:t>sector</w:t>
      </w:r>
      <w:r w:rsidRPr="00E0697F">
        <w:rPr>
          <w:rFonts w:ascii="Arial" w:hAnsi="Arial" w:cs="Arial"/>
        </w:rPr>
        <w:t xml:space="preserve"> is considered an advantage</w:t>
      </w:r>
    </w:p>
    <w:p w14:paraId="2D60BE49" w14:textId="00603D52" w:rsidR="00840648" w:rsidRPr="00E0697F" w:rsidRDefault="00252449" w:rsidP="00AB67B9">
      <w:pPr>
        <w:numPr>
          <w:ilvl w:val="0"/>
          <w:numId w:val="2"/>
        </w:numPr>
        <w:spacing w:after="120" w:line="360" w:lineRule="auto"/>
        <w:rPr>
          <w:rFonts w:ascii="Arial" w:hAnsi="Arial" w:cs="Arial"/>
        </w:rPr>
      </w:pPr>
      <w:r>
        <w:rPr>
          <w:rFonts w:ascii="Arial" w:hAnsi="Arial" w:cs="Arial"/>
        </w:rPr>
        <w:t>Proven e</w:t>
      </w:r>
      <w:r w:rsidR="00840648" w:rsidRPr="00E0697F">
        <w:rPr>
          <w:rFonts w:ascii="Arial" w:hAnsi="Arial" w:cs="Arial"/>
        </w:rPr>
        <w:t>xperience in working in Albania or Western Balkan environment or EU / EU pre-accession countries.</w:t>
      </w:r>
    </w:p>
    <w:p w14:paraId="41E2BDC9" w14:textId="77777777" w:rsidR="001D673D" w:rsidRPr="001D673D" w:rsidRDefault="001D673D" w:rsidP="00AB67B9">
      <w:pPr>
        <w:pStyle w:val="ListParagraph"/>
        <w:numPr>
          <w:ilvl w:val="0"/>
          <w:numId w:val="2"/>
        </w:numPr>
        <w:spacing w:after="120" w:line="360" w:lineRule="auto"/>
        <w:jc w:val="both"/>
        <w:rPr>
          <w:rFonts w:ascii="Arial" w:hAnsi="Arial" w:cs="Arial"/>
        </w:rPr>
      </w:pPr>
      <w:r w:rsidRPr="001D673D">
        <w:rPr>
          <w:rFonts w:ascii="Arial" w:hAnsi="Arial" w:cs="Arial"/>
        </w:rPr>
        <w:t>Proven experience in organising and managing public and institutional consultation processes, including liaison and coordination with relevant national and local authorities, regulatory institutions, stakeholders, and affected communities throughout the SEA/ESIA process.</w:t>
      </w:r>
    </w:p>
    <w:p w14:paraId="62B53BFD" w14:textId="77777777" w:rsidR="00840648" w:rsidRPr="00E0697F" w:rsidRDefault="0074501F" w:rsidP="00AB67B9">
      <w:pPr>
        <w:spacing w:after="120" w:line="360" w:lineRule="auto"/>
        <w:rPr>
          <w:rFonts w:ascii="Arial" w:hAnsi="Arial" w:cs="Arial"/>
        </w:rPr>
      </w:pPr>
      <w:r w:rsidRPr="00E0697F">
        <w:rPr>
          <w:rFonts w:ascii="Arial" w:eastAsia="Times New Roman" w:hAnsi="Arial" w:cs="Arial"/>
          <w:u w:val="single"/>
        </w:rPr>
        <w:t>Reference letters/contracts confirming the professional experience should be included in the Technical Offer</w:t>
      </w:r>
      <w:r w:rsidRPr="00E0697F">
        <w:rPr>
          <w:rFonts w:ascii="Arial" w:eastAsia="Times New Roman" w:hAnsi="Arial" w:cs="Arial"/>
        </w:rPr>
        <w:t>.</w:t>
      </w:r>
      <w:r w:rsidR="00840648" w:rsidRPr="00E0697F">
        <w:rPr>
          <w:rFonts w:ascii="Arial" w:hAnsi="Arial" w:cs="Arial"/>
        </w:rPr>
        <w:t xml:space="preserve"> </w:t>
      </w:r>
    </w:p>
    <w:p w14:paraId="7F40EF5E" w14:textId="1A05F026" w:rsidR="0074501F" w:rsidRPr="00E0697F" w:rsidRDefault="0074501F" w:rsidP="00CC7F1E">
      <w:pPr>
        <w:spacing w:after="120" w:line="360" w:lineRule="auto"/>
        <w:jc w:val="both"/>
        <w:rPr>
          <w:rFonts w:ascii="Arial" w:eastAsia="Times New Roman" w:hAnsi="Arial" w:cs="Arial"/>
        </w:rPr>
      </w:pPr>
    </w:p>
    <w:p w14:paraId="184E11FD" w14:textId="119E4829" w:rsidR="00110402" w:rsidRDefault="00D74FF1" w:rsidP="00CC7F1E">
      <w:pPr>
        <w:pStyle w:val="ListParagraph"/>
        <w:numPr>
          <w:ilvl w:val="0"/>
          <w:numId w:val="1"/>
        </w:numPr>
        <w:spacing w:after="120" w:line="360" w:lineRule="auto"/>
        <w:ind w:left="567" w:hanging="567"/>
        <w:contextualSpacing w:val="0"/>
        <w:jc w:val="both"/>
        <w:rPr>
          <w:rFonts w:ascii="Arial" w:hAnsi="Arial" w:cs="Arial"/>
          <w:b/>
          <w:bCs/>
        </w:rPr>
      </w:pPr>
      <w:r>
        <w:rPr>
          <w:rFonts w:ascii="Arial" w:hAnsi="Arial" w:cs="Arial"/>
          <w:b/>
          <w:bCs/>
        </w:rPr>
        <w:lastRenderedPageBreak/>
        <w:t>Methodology</w:t>
      </w:r>
    </w:p>
    <w:p w14:paraId="6FBA1AFF" w14:textId="0A0B825E" w:rsidR="00FE79E9" w:rsidRPr="000E554E" w:rsidRDefault="00B74068" w:rsidP="00AB67B9">
      <w:pPr>
        <w:spacing w:after="120" w:line="360" w:lineRule="auto"/>
        <w:jc w:val="both"/>
        <w:rPr>
          <w:rFonts w:ascii="Arial" w:hAnsi="Arial" w:cs="Arial"/>
          <w:b/>
          <w:bCs/>
        </w:rPr>
      </w:pPr>
      <w:r w:rsidRPr="00B74068">
        <w:rPr>
          <w:rFonts w:ascii="Arial" w:hAnsi="Arial" w:cs="Arial"/>
        </w:rPr>
        <w:t>A detailed methodology describing the approach to delivering the assignment, including the proposed activities, implementation methodology. The submitted methodology/proposal will be evaluated as part of the technical assessment and, if accepted, will form an integral part of the contract</w:t>
      </w:r>
      <w:r>
        <w:rPr>
          <w:rFonts w:ascii="Arial" w:hAnsi="Arial" w:cs="Arial"/>
        </w:rPr>
        <w:t xml:space="preserve">. </w:t>
      </w:r>
      <w:r w:rsidR="00FE79E9" w:rsidRPr="000E554E">
        <w:rPr>
          <w:rFonts w:ascii="Arial" w:hAnsi="Arial" w:cs="Arial"/>
          <w:b/>
          <w:bCs/>
        </w:rPr>
        <w:t>Languages</w:t>
      </w:r>
    </w:p>
    <w:p w14:paraId="1E4442D2" w14:textId="181FF766" w:rsidR="007C72F7" w:rsidRDefault="00DC322A" w:rsidP="00CC7F1E">
      <w:pPr>
        <w:spacing w:after="120" w:line="360" w:lineRule="auto"/>
        <w:ind w:left="567"/>
        <w:jc w:val="both"/>
        <w:rPr>
          <w:rFonts w:ascii="Arial" w:eastAsia="Times New Roman" w:hAnsi="Arial" w:cs="Arial"/>
        </w:rPr>
      </w:pPr>
      <w:r>
        <w:rPr>
          <w:rFonts w:ascii="Arial" w:eastAsia="Times New Roman" w:hAnsi="Arial" w:cs="Arial"/>
        </w:rPr>
        <w:t>The working language is</w:t>
      </w:r>
      <w:r w:rsidR="00E24397" w:rsidRPr="000E554E">
        <w:rPr>
          <w:rFonts w:ascii="Arial" w:eastAsia="Times New Roman" w:hAnsi="Arial" w:cs="Arial"/>
        </w:rPr>
        <w:t xml:space="preserve"> English</w:t>
      </w:r>
      <w:r>
        <w:rPr>
          <w:rFonts w:ascii="Arial" w:eastAsia="Times New Roman" w:hAnsi="Arial" w:cs="Arial"/>
        </w:rPr>
        <w:t>.</w:t>
      </w:r>
      <w:r w:rsidR="00FE79E9" w:rsidRPr="000E554E">
        <w:rPr>
          <w:rFonts w:ascii="Arial" w:eastAsia="Times New Roman" w:hAnsi="Arial" w:cs="Arial"/>
        </w:rPr>
        <w:t xml:space="preserve"> </w:t>
      </w:r>
    </w:p>
    <w:p w14:paraId="71D6B745" w14:textId="79DD9FE7" w:rsidR="00FE79E9" w:rsidRPr="00E07F80" w:rsidRDefault="00FE79E9" w:rsidP="00CC7F1E">
      <w:pPr>
        <w:pStyle w:val="ListParagraph"/>
        <w:numPr>
          <w:ilvl w:val="0"/>
          <w:numId w:val="1"/>
        </w:numPr>
        <w:spacing w:after="120" w:line="360" w:lineRule="auto"/>
        <w:ind w:left="567" w:hanging="567"/>
        <w:contextualSpacing w:val="0"/>
        <w:jc w:val="both"/>
        <w:rPr>
          <w:rFonts w:ascii="Arial" w:hAnsi="Arial" w:cs="Arial"/>
        </w:rPr>
      </w:pPr>
      <w:r w:rsidRPr="00E07F80">
        <w:rPr>
          <w:rFonts w:ascii="Arial" w:hAnsi="Arial" w:cs="Arial"/>
          <w:b/>
          <w:bCs/>
          <w:kern w:val="0"/>
        </w:rPr>
        <w:t>Timing and Location</w:t>
      </w:r>
    </w:p>
    <w:p w14:paraId="155EBC80" w14:textId="7694FC0E" w:rsidR="003D05C6" w:rsidRDefault="00DF739B" w:rsidP="00CC7F1E">
      <w:pPr>
        <w:spacing w:after="120" w:line="360" w:lineRule="auto"/>
        <w:jc w:val="both"/>
        <w:rPr>
          <w:rFonts w:ascii="Arial" w:hAnsi="Arial" w:cs="Arial"/>
        </w:rPr>
      </w:pPr>
      <w:r w:rsidRPr="00C85253">
        <w:rPr>
          <w:rFonts w:ascii="Arial" w:hAnsi="Arial" w:cs="Arial"/>
        </w:rPr>
        <w:t>The assignment foresees work from home</w:t>
      </w:r>
      <w:r w:rsidR="003D05C6" w:rsidRPr="00C85253">
        <w:rPr>
          <w:rFonts w:ascii="Arial" w:hAnsi="Arial" w:cs="Arial"/>
        </w:rPr>
        <w:t>/</w:t>
      </w:r>
      <w:r w:rsidR="00C15099" w:rsidRPr="00C85253">
        <w:rPr>
          <w:rFonts w:ascii="Arial" w:hAnsi="Arial" w:cs="Arial"/>
        </w:rPr>
        <w:t xml:space="preserve">online or </w:t>
      </w:r>
      <w:r w:rsidR="00DC322A">
        <w:rPr>
          <w:rFonts w:ascii="Arial" w:hAnsi="Arial" w:cs="Arial"/>
        </w:rPr>
        <w:t>if needs arise in the premises of</w:t>
      </w:r>
      <w:r w:rsidR="0068613A">
        <w:rPr>
          <w:rFonts w:ascii="Arial" w:hAnsi="Arial" w:cs="Arial"/>
        </w:rPr>
        <w:t xml:space="preserve"> end-beneficiary </w:t>
      </w:r>
      <w:r w:rsidR="00B16F0B">
        <w:rPr>
          <w:rFonts w:ascii="Arial" w:hAnsi="Arial" w:cs="Arial"/>
        </w:rPr>
        <w:t xml:space="preserve">institution in </w:t>
      </w:r>
      <w:r w:rsidR="00537307">
        <w:rPr>
          <w:rFonts w:ascii="Arial" w:hAnsi="Arial" w:cs="Arial"/>
        </w:rPr>
        <w:t>Tirana</w:t>
      </w:r>
      <w:r w:rsidR="00DC322A">
        <w:rPr>
          <w:rFonts w:ascii="Arial" w:hAnsi="Arial" w:cs="Arial"/>
        </w:rPr>
        <w:t>.</w:t>
      </w:r>
      <w:r w:rsidRPr="00C85253">
        <w:rPr>
          <w:rFonts w:ascii="Arial" w:hAnsi="Arial" w:cs="Arial"/>
        </w:rPr>
        <w:t xml:space="preserve"> </w:t>
      </w:r>
      <w:r w:rsidR="001363ED">
        <w:rPr>
          <w:rFonts w:ascii="Arial" w:hAnsi="Arial" w:cs="Arial"/>
        </w:rPr>
        <w:t xml:space="preserve">Task 7 on consultation process might require physical presence </w:t>
      </w:r>
      <w:r w:rsidR="001363ED" w:rsidRPr="00047167">
        <w:rPr>
          <w:rFonts w:ascii="Arial" w:hAnsi="Arial" w:cs="Arial"/>
        </w:rPr>
        <w:t xml:space="preserve">by the expert. </w:t>
      </w:r>
      <w:r w:rsidRPr="00C85253">
        <w:rPr>
          <w:rFonts w:ascii="Arial" w:hAnsi="Arial" w:cs="Arial"/>
        </w:rPr>
        <w:t xml:space="preserve">The assignment is expected to start </w:t>
      </w:r>
      <w:r w:rsidR="00200E89" w:rsidRPr="00C85253">
        <w:rPr>
          <w:rFonts w:ascii="Arial" w:hAnsi="Arial" w:cs="Arial"/>
        </w:rPr>
        <w:t xml:space="preserve">in </w:t>
      </w:r>
      <w:r w:rsidR="65A1EEC1" w:rsidRPr="00AB67B9">
        <w:rPr>
          <w:rFonts w:ascii="Arial" w:hAnsi="Arial" w:cs="Arial"/>
        </w:rPr>
        <w:t>July</w:t>
      </w:r>
      <w:r w:rsidR="003069D4" w:rsidRPr="00C85253">
        <w:rPr>
          <w:rFonts w:ascii="Arial" w:hAnsi="Arial" w:cs="Arial"/>
        </w:rPr>
        <w:t xml:space="preserve"> 202</w:t>
      </w:r>
      <w:r w:rsidR="00DC322A">
        <w:rPr>
          <w:rFonts w:ascii="Arial" w:hAnsi="Arial" w:cs="Arial"/>
        </w:rPr>
        <w:t>6</w:t>
      </w:r>
      <w:r w:rsidR="001363ED" w:rsidRPr="00047167">
        <w:rPr>
          <w:rFonts w:ascii="Arial" w:hAnsi="Arial" w:cs="Arial"/>
        </w:rPr>
        <w:t xml:space="preserve"> and to be completed no </w:t>
      </w:r>
      <w:proofErr w:type="spellStart"/>
      <w:r w:rsidR="001363ED" w:rsidRPr="00047167">
        <w:rPr>
          <w:rFonts w:ascii="Arial" w:hAnsi="Arial" w:cs="Arial"/>
        </w:rPr>
        <w:t>latter</w:t>
      </w:r>
      <w:proofErr w:type="spellEnd"/>
      <w:r w:rsidR="001363ED" w:rsidRPr="00047167">
        <w:rPr>
          <w:rFonts w:ascii="Arial" w:hAnsi="Arial" w:cs="Arial"/>
        </w:rPr>
        <w:t xml:space="preserve"> than</w:t>
      </w:r>
      <w:r w:rsidR="00D9123D" w:rsidRPr="00AB67B9">
        <w:rPr>
          <w:rFonts w:ascii="Arial" w:hAnsi="Arial" w:cs="Arial"/>
        </w:rPr>
        <w:t xml:space="preserve"> December 2026</w:t>
      </w:r>
      <w:r w:rsidR="003069D4" w:rsidRPr="00047167">
        <w:rPr>
          <w:rFonts w:ascii="Arial" w:hAnsi="Arial" w:cs="Arial"/>
        </w:rPr>
        <w:t>.</w:t>
      </w:r>
      <w:r w:rsidR="003D05C6" w:rsidRPr="00C85253">
        <w:rPr>
          <w:rFonts w:ascii="Arial" w:hAnsi="Arial" w:cs="Arial"/>
        </w:rPr>
        <w:t xml:space="preserve"> </w:t>
      </w:r>
    </w:p>
    <w:p w14:paraId="33771297" w14:textId="5EA1B4C8" w:rsidR="00FE79E9" w:rsidRPr="00E07F80" w:rsidRDefault="00FE79E9" w:rsidP="00CC7F1E">
      <w:pPr>
        <w:pStyle w:val="ListParagraph"/>
        <w:numPr>
          <w:ilvl w:val="0"/>
          <w:numId w:val="1"/>
        </w:numPr>
        <w:spacing w:after="120" w:line="360" w:lineRule="auto"/>
        <w:ind w:left="567" w:hanging="567"/>
        <w:contextualSpacing w:val="0"/>
        <w:jc w:val="both"/>
        <w:rPr>
          <w:rFonts w:ascii="Arial" w:hAnsi="Arial" w:cs="Arial"/>
        </w:rPr>
      </w:pPr>
      <w:r w:rsidRPr="00E07F80">
        <w:rPr>
          <w:rFonts w:ascii="Arial" w:hAnsi="Arial" w:cs="Arial"/>
          <w:b/>
          <w:bCs/>
          <w:kern w:val="0"/>
        </w:rPr>
        <w:t>Remunerations</w:t>
      </w:r>
    </w:p>
    <w:p w14:paraId="3FED4877" w14:textId="4C968FDC" w:rsidR="00427150" w:rsidRPr="005F6CBD" w:rsidRDefault="003069D4" w:rsidP="00CC7F1E">
      <w:pPr>
        <w:pStyle w:val="ListParagraph"/>
        <w:spacing w:after="120" w:line="360" w:lineRule="auto"/>
        <w:ind w:left="0"/>
        <w:contextualSpacing w:val="0"/>
        <w:jc w:val="both"/>
        <w:rPr>
          <w:rFonts w:ascii="Arial" w:hAnsi="Arial" w:cs="Arial"/>
          <w:highlight w:val="yellow"/>
        </w:rPr>
      </w:pPr>
      <w:r w:rsidRPr="00E07F80">
        <w:rPr>
          <w:rFonts w:ascii="Arial" w:hAnsi="Arial" w:cs="Arial"/>
        </w:rPr>
        <w:t xml:space="preserve">The assignment foresees up to </w:t>
      </w:r>
      <w:r w:rsidR="000D3E04" w:rsidRPr="00AB67B9">
        <w:rPr>
          <w:rFonts w:ascii="Arial" w:hAnsi="Arial" w:cs="Arial"/>
        </w:rPr>
        <w:t>320</w:t>
      </w:r>
      <w:r w:rsidR="00085010" w:rsidRPr="00AB67B9">
        <w:rPr>
          <w:rFonts w:ascii="Arial" w:hAnsi="Arial" w:cs="Arial"/>
        </w:rPr>
        <w:t xml:space="preserve"> </w:t>
      </w:r>
      <w:r w:rsidRPr="00AB67B9">
        <w:rPr>
          <w:rFonts w:ascii="Arial" w:hAnsi="Arial" w:cs="Arial"/>
        </w:rPr>
        <w:t xml:space="preserve">working hours or </w:t>
      </w:r>
      <w:r w:rsidR="000D3E04" w:rsidRPr="00AB67B9">
        <w:rPr>
          <w:rFonts w:ascii="Arial" w:hAnsi="Arial" w:cs="Arial"/>
        </w:rPr>
        <w:t>4</w:t>
      </w:r>
      <w:r w:rsidR="00210651" w:rsidRPr="00AB67B9">
        <w:rPr>
          <w:rFonts w:ascii="Arial" w:hAnsi="Arial" w:cs="Arial"/>
        </w:rPr>
        <w:t>0</w:t>
      </w:r>
      <w:r w:rsidRPr="00AB67B9">
        <w:rPr>
          <w:rFonts w:ascii="Arial" w:hAnsi="Arial" w:cs="Arial"/>
        </w:rPr>
        <w:t xml:space="preserve"> working</w:t>
      </w:r>
      <w:r w:rsidRPr="00E07F80">
        <w:rPr>
          <w:rFonts w:ascii="Arial" w:hAnsi="Arial" w:cs="Arial"/>
        </w:rPr>
        <w:t xml:space="preserve"> days of engagement for </w:t>
      </w:r>
      <w:r w:rsidR="00E56DF1" w:rsidRPr="00E07F80">
        <w:rPr>
          <w:rFonts w:ascii="Arial" w:hAnsi="Arial" w:cs="Arial"/>
        </w:rPr>
        <w:t xml:space="preserve">the </w:t>
      </w:r>
      <w:r w:rsidR="00746877" w:rsidRPr="00E07F80">
        <w:rPr>
          <w:rFonts w:ascii="Arial" w:hAnsi="Arial" w:cs="Arial"/>
        </w:rPr>
        <w:t>expert</w:t>
      </w:r>
      <w:r w:rsidRPr="00E07F80">
        <w:rPr>
          <w:rFonts w:ascii="Arial" w:hAnsi="Arial" w:cs="Arial"/>
        </w:rPr>
        <w:t xml:space="preserve"> with a maximum value of EUR </w:t>
      </w:r>
      <w:r w:rsidR="000D3E04" w:rsidRPr="00047167">
        <w:rPr>
          <w:rFonts w:ascii="Arial" w:hAnsi="Arial" w:cs="Arial"/>
        </w:rPr>
        <w:t>1</w:t>
      </w:r>
      <w:r w:rsidR="00D9123D" w:rsidRPr="00AB67B9">
        <w:rPr>
          <w:rFonts w:ascii="Arial" w:hAnsi="Arial" w:cs="Arial"/>
        </w:rPr>
        <w:t>2</w:t>
      </w:r>
      <w:r w:rsidRPr="00E07F80">
        <w:rPr>
          <w:rFonts w:ascii="Arial" w:hAnsi="Arial" w:cs="Arial"/>
        </w:rPr>
        <w:t>,</w:t>
      </w:r>
      <w:r w:rsidRPr="0082457C">
        <w:rPr>
          <w:rFonts w:ascii="Arial" w:hAnsi="Arial" w:cs="Arial"/>
        </w:rPr>
        <w:t>000.</w:t>
      </w:r>
      <w:r w:rsidRPr="00E07F80">
        <w:rPr>
          <w:rFonts w:ascii="Arial" w:hAnsi="Arial" w:cs="Arial"/>
        </w:rPr>
        <w:t xml:space="preserve"> </w:t>
      </w:r>
    </w:p>
    <w:p w14:paraId="41EB4EB4" w14:textId="41B2891E" w:rsidR="00B251E7" w:rsidRPr="00B251E7" w:rsidRDefault="00B251E7" w:rsidP="00CC7F1E">
      <w:pPr>
        <w:spacing w:after="120" w:line="360" w:lineRule="auto"/>
        <w:jc w:val="both"/>
        <w:rPr>
          <w:rFonts w:ascii="Arial" w:hAnsi="Arial" w:cs="Arial"/>
        </w:rPr>
      </w:pPr>
      <w:r w:rsidRPr="00B251E7">
        <w:rPr>
          <w:rFonts w:ascii="Arial" w:hAnsi="Arial" w:cs="Arial"/>
        </w:rPr>
        <w:t>Each deliverable will be subject to quality control and approval by the TCT Secretariat</w:t>
      </w:r>
      <w:r w:rsidR="001D3C57">
        <w:rPr>
          <w:rFonts w:ascii="Arial" w:hAnsi="Arial" w:cs="Arial"/>
        </w:rPr>
        <w:t xml:space="preserve"> and end-beneficiary</w:t>
      </w:r>
      <w:r w:rsidRPr="00B251E7">
        <w:rPr>
          <w:rFonts w:ascii="Arial" w:hAnsi="Arial" w:cs="Arial"/>
        </w:rPr>
        <w:t>.</w:t>
      </w:r>
    </w:p>
    <w:p w14:paraId="6D4C2155" w14:textId="0506B4DB" w:rsidR="00427150" w:rsidRPr="00E07F80" w:rsidRDefault="00B251E7" w:rsidP="00CC7F1E">
      <w:pPr>
        <w:pStyle w:val="ListParagraph"/>
        <w:spacing w:after="120" w:line="360" w:lineRule="auto"/>
        <w:ind w:left="0"/>
        <w:contextualSpacing w:val="0"/>
        <w:jc w:val="both"/>
        <w:rPr>
          <w:rFonts w:ascii="Arial" w:hAnsi="Arial" w:cs="Arial"/>
        </w:rPr>
      </w:pPr>
      <w:r w:rsidRPr="00B251E7">
        <w:rPr>
          <w:rFonts w:ascii="Arial" w:hAnsi="Arial" w:cs="Arial"/>
        </w:rPr>
        <w:t xml:space="preserve">Payment will be processed upon submission </w:t>
      </w:r>
      <w:r w:rsidR="00215EDA">
        <w:rPr>
          <w:rFonts w:ascii="Arial" w:hAnsi="Arial" w:cs="Arial"/>
        </w:rPr>
        <w:t xml:space="preserve">and approval </w:t>
      </w:r>
      <w:r w:rsidRPr="00B251E7">
        <w:rPr>
          <w:rFonts w:ascii="Arial" w:hAnsi="Arial" w:cs="Arial"/>
        </w:rPr>
        <w:t xml:space="preserve">of all documents </w:t>
      </w:r>
      <w:r w:rsidR="00215EDA" w:rsidRPr="00B251E7">
        <w:rPr>
          <w:rFonts w:ascii="Arial" w:hAnsi="Arial" w:cs="Arial"/>
        </w:rPr>
        <w:t>by the TCT Secretariat</w:t>
      </w:r>
      <w:r w:rsidR="00215EDA">
        <w:rPr>
          <w:rFonts w:ascii="Arial" w:hAnsi="Arial" w:cs="Arial"/>
        </w:rPr>
        <w:t xml:space="preserve"> and end-beneficiary</w:t>
      </w:r>
      <w:r w:rsidRPr="00B251E7">
        <w:rPr>
          <w:rFonts w:ascii="Arial" w:hAnsi="Arial" w:cs="Arial"/>
        </w:rPr>
        <w:t xml:space="preserve"> as stipulated in the contract</w:t>
      </w:r>
    </w:p>
    <w:p w14:paraId="4AC62A73" w14:textId="2E9B499B" w:rsidR="00174593" w:rsidRDefault="00DF739B" w:rsidP="00CC7F1E">
      <w:pPr>
        <w:pStyle w:val="ListParagraph"/>
        <w:spacing w:after="120" w:line="360" w:lineRule="auto"/>
        <w:ind w:left="0"/>
        <w:contextualSpacing w:val="0"/>
        <w:jc w:val="both"/>
        <w:rPr>
          <w:rFonts w:ascii="Arial" w:hAnsi="Arial" w:cs="Arial"/>
        </w:rPr>
      </w:pPr>
      <w:r w:rsidRPr="00E07F80">
        <w:rPr>
          <w:rFonts w:ascii="Arial" w:hAnsi="Arial" w:cs="Arial"/>
        </w:rPr>
        <w:t>Note: No other costs will be covered besides the expert cost per day</w:t>
      </w:r>
      <w:r w:rsidR="00215EDA">
        <w:rPr>
          <w:rFonts w:ascii="Arial" w:hAnsi="Arial" w:cs="Arial"/>
        </w:rPr>
        <w:t xml:space="preserve"> as indicated in the offer</w:t>
      </w:r>
      <w:r w:rsidRPr="00E07F80">
        <w:rPr>
          <w:rFonts w:ascii="Arial" w:hAnsi="Arial" w:cs="Arial"/>
        </w:rPr>
        <w:t xml:space="preserve">. </w:t>
      </w:r>
    </w:p>
    <w:p w14:paraId="794B21D7" w14:textId="77777777" w:rsidR="006A24D0" w:rsidRPr="00E07F80" w:rsidRDefault="006A24D0" w:rsidP="00CC7F1E">
      <w:pPr>
        <w:pStyle w:val="ListParagraph"/>
        <w:spacing w:after="120" w:line="360" w:lineRule="auto"/>
        <w:ind w:left="0"/>
        <w:contextualSpacing w:val="0"/>
        <w:jc w:val="both"/>
        <w:rPr>
          <w:rFonts w:ascii="Arial" w:hAnsi="Arial" w:cs="Arial"/>
        </w:rPr>
      </w:pPr>
    </w:p>
    <w:p w14:paraId="16F6B50A" w14:textId="20E28239" w:rsidR="00C5310B" w:rsidRPr="00E07F80" w:rsidRDefault="00C5310B" w:rsidP="00CC7F1E">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t>Financial Offer</w:t>
      </w:r>
    </w:p>
    <w:p w14:paraId="27915E0B" w14:textId="60B105BA" w:rsidR="00C5310B" w:rsidRPr="00E07F80" w:rsidRDefault="00466995" w:rsidP="00CC7F1E">
      <w:pPr>
        <w:spacing w:after="120" w:line="360" w:lineRule="auto"/>
        <w:jc w:val="both"/>
        <w:rPr>
          <w:rFonts w:ascii="Arial" w:hAnsi="Arial" w:cs="Arial"/>
        </w:rPr>
      </w:pPr>
      <w:r w:rsidRPr="00E07F80">
        <w:rPr>
          <w:rFonts w:ascii="Arial" w:hAnsi="Arial" w:cs="Arial"/>
        </w:rPr>
        <w:t>The financial</w:t>
      </w:r>
      <w:r w:rsidR="00C5310B" w:rsidRPr="00E07F80">
        <w:rPr>
          <w:rFonts w:ascii="Arial" w:hAnsi="Arial" w:cs="Arial"/>
        </w:rPr>
        <w:t xml:space="preserve"> offer should be shown in a form showing the price per working day of 8 hours.</w:t>
      </w:r>
    </w:p>
    <w:p w14:paraId="62FF4940" w14:textId="5D1C9805" w:rsidR="00C5310B" w:rsidRDefault="00C5310B" w:rsidP="00CC7F1E">
      <w:pPr>
        <w:spacing w:after="120" w:line="360" w:lineRule="auto"/>
        <w:jc w:val="both"/>
        <w:rPr>
          <w:rFonts w:ascii="Arial" w:hAnsi="Arial" w:cs="Arial"/>
        </w:rPr>
      </w:pPr>
      <w:r w:rsidRPr="00E07F80">
        <w:rPr>
          <w:rFonts w:ascii="Arial" w:hAnsi="Arial" w:cs="Arial"/>
        </w:rPr>
        <w:t xml:space="preserve">The offer with the lowest price will be scored with </w:t>
      </w:r>
      <w:r w:rsidR="00466995" w:rsidRPr="00E07F80">
        <w:rPr>
          <w:rFonts w:ascii="Arial" w:hAnsi="Arial" w:cs="Arial"/>
        </w:rPr>
        <w:t xml:space="preserve">a maximum of </w:t>
      </w:r>
      <w:r w:rsidRPr="00E07F80">
        <w:rPr>
          <w:rFonts w:ascii="Arial" w:hAnsi="Arial" w:cs="Arial"/>
        </w:rPr>
        <w:t xml:space="preserve">20 points. </w:t>
      </w:r>
    </w:p>
    <w:p w14:paraId="21A45877" w14:textId="3C36A222" w:rsidR="00CF5E46" w:rsidRPr="00E07F80" w:rsidRDefault="00CF5E46" w:rsidP="00CC7F1E">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t>Selection and Award criteria</w:t>
      </w:r>
    </w:p>
    <w:p w14:paraId="43A2CA43" w14:textId="20C74808" w:rsidR="00174593" w:rsidRPr="00E07F80" w:rsidRDefault="005A3BAF" w:rsidP="00CC7F1E">
      <w:pPr>
        <w:spacing w:after="120" w:line="360" w:lineRule="auto"/>
        <w:jc w:val="both"/>
        <w:rPr>
          <w:rFonts w:ascii="Arial" w:hAnsi="Arial" w:cs="Arial"/>
        </w:rPr>
      </w:pPr>
      <w:r w:rsidRPr="00E07F80">
        <w:rPr>
          <w:rFonts w:ascii="Arial" w:hAnsi="Arial" w:cs="Arial"/>
        </w:rPr>
        <w:t>Selection</w:t>
      </w:r>
      <w:r w:rsidR="00CF5E46" w:rsidRPr="00E07F80">
        <w:rPr>
          <w:rFonts w:ascii="Arial" w:hAnsi="Arial" w:cs="Arial"/>
        </w:rPr>
        <w:t xml:space="preserve"> will be done based on work experience</w:t>
      </w:r>
      <w:r w:rsidR="00BA7A87">
        <w:rPr>
          <w:rFonts w:ascii="Arial" w:hAnsi="Arial" w:cs="Arial"/>
        </w:rPr>
        <w:t xml:space="preserve"> and methodology</w:t>
      </w:r>
      <w:r w:rsidR="00CF5E46" w:rsidRPr="00E07F80">
        <w:rPr>
          <w:rFonts w:ascii="Arial" w:hAnsi="Arial" w:cs="Arial"/>
        </w:rPr>
        <w:t xml:space="preserve">. </w:t>
      </w:r>
      <w:r w:rsidR="00035F7E" w:rsidRPr="00E07F80">
        <w:rPr>
          <w:rFonts w:ascii="Arial" w:hAnsi="Arial" w:cs="Arial"/>
        </w:rPr>
        <w:tab/>
      </w:r>
    </w:p>
    <w:tbl>
      <w:tblPr>
        <w:tblStyle w:val="TableGrid"/>
        <w:tblW w:w="0" w:type="auto"/>
        <w:jc w:val="center"/>
        <w:tblLook w:val="04A0" w:firstRow="1" w:lastRow="0" w:firstColumn="1" w:lastColumn="0" w:noHBand="0" w:noVBand="1"/>
      </w:tblPr>
      <w:tblGrid>
        <w:gridCol w:w="3114"/>
        <w:gridCol w:w="3260"/>
        <w:gridCol w:w="2256"/>
      </w:tblGrid>
      <w:tr w:rsidR="00813BCB" w:rsidRPr="00E07F80" w14:paraId="14FBB9B8" w14:textId="77777777" w:rsidTr="00C85253">
        <w:trPr>
          <w:jc w:val="center"/>
        </w:trPr>
        <w:tc>
          <w:tcPr>
            <w:tcW w:w="3114" w:type="dxa"/>
          </w:tcPr>
          <w:p w14:paraId="64850578" w14:textId="77777777" w:rsidR="00453CD0" w:rsidRPr="005F6CBD" w:rsidRDefault="00453CD0" w:rsidP="00CC7F1E">
            <w:pPr>
              <w:pStyle w:val="ListParagraph"/>
              <w:spacing w:after="120" w:line="360" w:lineRule="auto"/>
              <w:ind w:left="0"/>
              <w:contextualSpacing w:val="0"/>
              <w:jc w:val="both"/>
              <w:rPr>
                <w:rFonts w:ascii="Arial" w:hAnsi="Arial" w:cs="Arial"/>
              </w:rPr>
            </w:pPr>
            <w:r w:rsidRPr="005F6CBD">
              <w:rPr>
                <w:rFonts w:ascii="Arial" w:hAnsi="Arial" w:cs="Arial"/>
              </w:rPr>
              <w:t>Work experience</w:t>
            </w:r>
          </w:p>
        </w:tc>
        <w:tc>
          <w:tcPr>
            <w:tcW w:w="3260" w:type="dxa"/>
          </w:tcPr>
          <w:p w14:paraId="5E2FC839" w14:textId="77777777" w:rsidR="00453CD0" w:rsidRPr="005F6CBD" w:rsidRDefault="00453CD0" w:rsidP="00CC7F1E">
            <w:pPr>
              <w:pStyle w:val="ListParagraph"/>
              <w:spacing w:after="120" w:line="360" w:lineRule="auto"/>
              <w:ind w:left="0"/>
              <w:contextualSpacing w:val="0"/>
              <w:jc w:val="both"/>
              <w:rPr>
                <w:rFonts w:ascii="Arial" w:hAnsi="Arial" w:cs="Arial"/>
              </w:rPr>
            </w:pPr>
            <w:r w:rsidRPr="005F6CBD">
              <w:rPr>
                <w:rFonts w:ascii="Arial" w:hAnsi="Arial" w:cs="Arial"/>
              </w:rPr>
              <w:t>Minimum score</w:t>
            </w:r>
          </w:p>
        </w:tc>
        <w:tc>
          <w:tcPr>
            <w:tcW w:w="2256" w:type="dxa"/>
          </w:tcPr>
          <w:p w14:paraId="6A2127AB" w14:textId="77777777" w:rsidR="00453CD0" w:rsidRPr="005F6CBD" w:rsidRDefault="00453CD0" w:rsidP="00CC7F1E">
            <w:pPr>
              <w:pStyle w:val="ListParagraph"/>
              <w:spacing w:after="120" w:line="360" w:lineRule="auto"/>
              <w:ind w:left="0"/>
              <w:contextualSpacing w:val="0"/>
              <w:jc w:val="both"/>
              <w:rPr>
                <w:rFonts w:ascii="Arial" w:hAnsi="Arial" w:cs="Arial"/>
              </w:rPr>
            </w:pPr>
            <w:r w:rsidRPr="005F6CBD">
              <w:rPr>
                <w:rFonts w:ascii="Arial" w:hAnsi="Arial" w:cs="Arial"/>
              </w:rPr>
              <w:t>Maximum score</w:t>
            </w:r>
          </w:p>
        </w:tc>
      </w:tr>
      <w:tr w:rsidR="00813BCB" w:rsidRPr="00E07F80" w14:paraId="0352B9D6" w14:textId="77777777" w:rsidTr="00C85253">
        <w:trPr>
          <w:jc w:val="center"/>
        </w:trPr>
        <w:tc>
          <w:tcPr>
            <w:tcW w:w="3114" w:type="dxa"/>
          </w:tcPr>
          <w:p w14:paraId="18107F38" w14:textId="2B84A2F2" w:rsidR="000D3E04" w:rsidRPr="005F6CBD" w:rsidRDefault="00975C0D" w:rsidP="00AB67B9">
            <w:pPr>
              <w:spacing w:after="120" w:line="360" w:lineRule="auto"/>
              <w:rPr>
                <w:rFonts w:ascii="Arial" w:hAnsi="Arial" w:cs="Arial"/>
              </w:rPr>
            </w:pPr>
            <w:r w:rsidRPr="00AB67B9">
              <w:rPr>
                <w:rFonts w:ascii="Arial" w:hAnsi="Arial" w:cs="Arial"/>
              </w:rPr>
              <w:lastRenderedPageBreak/>
              <w:t>A minimum of ten (10) years of professional experience in the preparation of SEA/ESIA studies, including experience in the successful preparation and approval of 2 SEA/ESIA studies in accordance with Albanian national legislation.</w:t>
            </w:r>
          </w:p>
        </w:tc>
        <w:tc>
          <w:tcPr>
            <w:tcW w:w="3260" w:type="dxa"/>
          </w:tcPr>
          <w:p w14:paraId="684C6C92" w14:textId="07CDEF40" w:rsidR="00453CD0" w:rsidRPr="005F6CBD" w:rsidRDefault="00975C0D" w:rsidP="00CC7F1E">
            <w:pPr>
              <w:pStyle w:val="ListParagraph"/>
              <w:spacing w:after="120" w:line="360" w:lineRule="auto"/>
              <w:ind w:left="0"/>
              <w:contextualSpacing w:val="0"/>
              <w:jc w:val="both"/>
              <w:rPr>
                <w:rFonts w:ascii="Arial" w:hAnsi="Arial" w:cs="Arial"/>
              </w:rPr>
            </w:pPr>
            <w:r w:rsidRPr="00AB67B9">
              <w:rPr>
                <w:rFonts w:ascii="Arial" w:hAnsi="Arial" w:cs="Arial"/>
              </w:rPr>
              <w:t>20 points for at least ten (10) years of professional experience and successful involvement in at least two (2) approved SEA/ESIA studies in Albania within the last five (5) years. Every additional year of relevant experience will be awarded 5 points, up to the maximum score.</w:t>
            </w:r>
          </w:p>
        </w:tc>
        <w:tc>
          <w:tcPr>
            <w:tcW w:w="2256" w:type="dxa"/>
          </w:tcPr>
          <w:p w14:paraId="56EDFEBF" w14:textId="4A1D834E" w:rsidR="00453CD0" w:rsidRPr="005F6CBD" w:rsidRDefault="00C27AAB" w:rsidP="00CC7F1E">
            <w:pPr>
              <w:pStyle w:val="ListParagraph"/>
              <w:spacing w:after="120" w:line="360" w:lineRule="auto"/>
              <w:ind w:left="0"/>
              <w:contextualSpacing w:val="0"/>
              <w:jc w:val="both"/>
              <w:rPr>
                <w:rFonts w:ascii="Arial" w:hAnsi="Arial" w:cs="Arial"/>
              </w:rPr>
            </w:pPr>
            <w:r w:rsidRPr="0082457C">
              <w:rPr>
                <w:rFonts w:ascii="Arial" w:hAnsi="Arial" w:cs="Arial"/>
              </w:rPr>
              <w:t>4</w:t>
            </w:r>
            <w:r w:rsidR="00453CD0" w:rsidRPr="0082457C">
              <w:rPr>
                <w:rFonts w:ascii="Arial" w:hAnsi="Arial" w:cs="Arial"/>
              </w:rPr>
              <w:t>0</w:t>
            </w:r>
          </w:p>
        </w:tc>
      </w:tr>
      <w:tr w:rsidR="00813BCB" w:rsidRPr="00E07F80" w14:paraId="3C48A8C7" w14:textId="77777777" w:rsidTr="00C85253">
        <w:trPr>
          <w:jc w:val="center"/>
        </w:trPr>
        <w:tc>
          <w:tcPr>
            <w:tcW w:w="3114" w:type="dxa"/>
          </w:tcPr>
          <w:p w14:paraId="17AFEF0E" w14:textId="5B3E4130" w:rsidR="00453CD0" w:rsidRPr="005F6CBD" w:rsidRDefault="00975C0D" w:rsidP="00CC7F1E">
            <w:pPr>
              <w:pStyle w:val="ListParagraph"/>
              <w:spacing w:after="120" w:line="360" w:lineRule="auto"/>
              <w:ind w:left="0"/>
              <w:contextualSpacing w:val="0"/>
              <w:jc w:val="both"/>
              <w:rPr>
                <w:rFonts w:ascii="Arial" w:hAnsi="Arial" w:cs="Arial"/>
              </w:rPr>
            </w:pPr>
            <w:r w:rsidRPr="00AB67B9">
              <w:rPr>
                <w:rFonts w:ascii="Arial" w:hAnsi="Arial" w:cs="Arial"/>
              </w:rPr>
              <w:t>Experience in infrastructure or transport sector projects is considered an advantage.</w:t>
            </w:r>
          </w:p>
        </w:tc>
        <w:tc>
          <w:tcPr>
            <w:tcW w:w="3260" w:type="dxa"/>
          </w:tcPr>
          <w:p w14:paraId="5372BB49" w14:textId="080091D1" w:rsidR="00453CD0" w:rsidRPr="005F6CBD" w:rsidRDefault="00B44615" w:rsidP="00CC7F1E">
            <w:pPr>
              <w:pStyle w:val="ListParagraph"/>
              <w:spacing w:after="120" w:line="360" w:lineRule="auto"/>
              <w:ind w:left="0"/>
              <w:contextualSpacing w:val="0"/>
              <w:jc w:val="both"/>
              <w:rPr>
                <w:rFonts w:ascii="Arial" w:hAnsi="Arial" w:cs="Arial"/>
              </w:rPr>
            </w:pPr>
            <w:r w:rsidRPr="00AB67B9">
              <w:rPr>
                <w:rFonts w:ascii="Arial" w:hAnsi="Arial" w:cs="Arial"/>
              </w:rPr>
              <w:t>0</w:t>
            </w:r>
          </w:p>
        </w:tc>
        <w:tc>
          <w:tcPr>
            <w:tcW w:w="2256" w:type="dxa"/>
          </w:tcPr>
          <w:p w14:paraId="7387D022" w14:textId="4D03C80C" w:rsidR="00453CD0" w:rsidRPr="005F6CBD" w:rsidRDefault="00C27AAB" w:rsidP="00CC7F1E">
            <w:pPr>
              <w:pStyle w:val="ListParagraph"/>
              <w:spacing w:after="120" w:line="360" w:lineRule="auto"/>
              <w:ind w:left="0"/>
              <w:contextualSpacing w:val="0"/>
              <w:jc w:val="both"/>
              <w:rPr>
                <w:rFonts w:ascii="Arial" w:hAnsi="Arial" w:cs="Arial"/>
              </w:rPr>
            </w:pPr>
            <w:r w:rsidRPr="0082457C">
              <w:rPr>
                <w:rFonts w:ascii="Arial" w:hAnsi="Arial" w:cs="Arial"/>
              </w:rPr>
              <w:t>1</w:t>
            </w:r>
            <w:r w:rsidR="00EB7F0D" w:rsidRPr="0082457C">
              <w:rPr>
                <w:rFonts w:ascii="Arial" w:hAnsi="Arial" w:cs="Arial"/>
              </w:rPr>
              <w:t>0</w:t>
            </w:r>
          </w:p>
        </w:tc>
      </w:tr>
      <w:tr w:rsidR="00813BCB" w:rsidRPr="00E07F80" w14:paraId="5088A0F8" w14:textId="77777777" w:rsidTr="00C85253">
        <w:trPr>
          <w:jc w:val="center"/>
        </w:trPr>
        <w:tc>
          <w:tcPr>
            <w:tcW w:w="3114" w:type="dxa"/>
          </w:tcPr>
          <w:p w14:paraId="0D60BFED" w14:textId="2D23017F" w:rsidR="00453CD0" w:rsidRPr="005F6CBD" w:rsidRDefault="00975C0D" w:rsidP="00CC7F1E">
            <w:pPr>
              <w:pStyle w:val="ListParagraph"/>
              <w:spacing w:after="120" w:line="360" w:lineRule="auto"/>
              <w:ind w:left="0"/>
              <w:contextualSpacing w:val="0"/>
              <w:jc w:val="both"/>
              <w:rPr>
                <w:rFonts w:ascii="Arial" w:hAnsi="Arial" w:cs="Arial"/>
              </w:rPr>
            </w:pPr>
            <w:r w:rsidRPr="00AB67B9">
              <w:rPr>
                <w:rFonts w:ascii="Arial" w:hAnsi="Arial" w:cs="Arial"/>
              </w:rPr>
              <w:t>Proven experience in organising and managing public and institutional consultation processes, including liaison and coordination with national and local authorities, regulatory institutions, stakeholders, and affected communities throughout the SEA/ESIA process.</w:t>
            </w:r>
          </w:p>
        </w:tc>
        <w:tc>
          <w:tcPr>
            <w:tcW w:w="3260" w:type="dxa"/>
          </w:tcPr>
          <w:p w14:paraId="53AFA463" w14:textId="6E166AB3" w:rsidR="00453CD0" w:rsidRPr="005F6CBD" w:rsidRDefault="00B44615" w:rsidP="00CC7F1E">
            <w:pPr>
              <w:pStyle w:val="ListParagraph"/>
              <w:spacing w:after="120" w:line="360" w:lineRule="auto"/>
              <w:ind w:left="0"/>
              <w:contextualSpacing w:val="0"/>
              <w:jc w:val="both"/>
              <w:rPr>
                <w:rFonts w:ascii="Arial" w:hAnsi="Arial" w:cs="Arial"/>
              </w:rPr>
            </w:pPr>
            <w:r w:rsidRPr="00AB67B9">
              <w:rPr>
                <w:rFonts w:ascii="Arial" w:hAnsi="Arial" w:cs="Arial"/>
              </w:rPr>
              <w:t>0</w:t>
            </w:r>
          </w:p>
        </w:tc>
        <w:tc>
          <w:tcPr>
            <w:tcW w:w="2256" w:type="dxa"/>
          </w:tcPr>
          <w:p w14:paraId="14425A23" w14:textId="6379B7EF" w:rsidR="00453CD0" w:rsidRPr="005F6CBD" w:rsidRDefault="00307C67" w:rsidP="00CC7F1E">
            <w:pPr>
              <w:pStyle w:val="ListParagraph"/>
              <w:spacing w:after="120" w:line="360" w:lineRule="auto"/>
              <w:ind w:left="0"/>
              <w:contextualSpacing w:val="0"/>
              <w:jc w:val="both"/>
              <w:rPr>
                <w:rFonts w:ascii="Arial" w:hAnsi="Arial" w:cs="Arial"/>
              </w:rPr>
            </w:pPr>
            <w:r w:rsidRPr="0082457C">
              <w:rPr>
                <w:rFonts w:ascii="Arial" w:hAnsi="Arial" w:cs="Arial"/>
              </w:rPr>
              <w:t>2</w:t>
            </w:r>
            <w:r w:rsidR="00AA4B23" w:rsidRPr="0082457C">
              <w:rPr>
                <w:rFonts w:ascii="Arial" w:hAnsi="Arial" w:cs="Arial"/>
              </w:rPr>
              <w:t>0</w:t>
            </w:r>
          </w:p>
        </w:tc>
      </w:tr>
      <w:tr w:rsidR="00813BCB" w:rsidRPr="00E07F80" w14:paraId="738DE4D5" w14:textId="77777777" w:rsidTr="00C85253">
        <w:trPr>
          <w:jc w:val="center"/>
        </w:trPr>
        <w:tc>
          <w:tcPr>
            <w:tcW w:w="3114" w:type="dxa"/>
          </w:tcPr>
          <w:p w14:paraId="24942309" w14:textId="32FD4353" w:rsidR="00453CD0" w:rsidRPr="005F6CBD" w:rsidRDefault="00975C0D" w:rsidP="00CC7F1E">
            <w:pPr>
              <w:pStyle w:val="ListParagraph"/>
              <w:spacing w:after="120" w:line="360" w:lineRule="auto"/>
              <w:ind w:left="0"/>
              <w:contextualSpacing w:val="0"/>
              <w:jc w:val="both"/>
              <w:rPr>
                <w:rFonts w:ascii="Arial" w:hAnsi="Arial" w:cs="Arial"/>
              </w:rPr>
            </w:pPr>
            <w:r w:rsidRPr="00AB67B9">
              <w:rPr>
                <w:rFonts w:ascii="Arial" w:hAnsi="Arial" w:cs="Arial"/>
              </w:rPr>
              <w:t>Experience working in Albania, the Western Balkans, or EU / EU pre-accession countries.</w:t>
            </w:r>
          </w:p>
        </w:tc>
        <w:tc>
          <w:tcPr>
            <w:tcW w:w="3260" w:type="dxa"/>
          </w:tcPr>
          <w:p w14:paraId="6210DB0C" w14:textId="22791199" w:rsidR="00453CD0" w:rsidRPr="005F6CBD" w:rsidRDefault="00B44615" w:rsidP="00CC7F1E">
            <w:pPr>
              <w:pStyle w:val="ListParagraph"/>
              <w:spacing w:after="120" w:line="360" w:lineRule="auto"/>
              <w:ind w:left="0"/>
              <w:contextualSpacing w:val="0"/>
              <w:jc w:val="both"/>
              <w:rPr>
                <w:rFonts w:ascii="Arial" w:hAnsi="Arial" w:cs="Arial"/>
              </w:rPr>
            </w:pPr>
            <w:r w:rsidRPr="00AB67B9">
              <w:rPr>
                <w:rFonts w:ascii="Arial" w:hAnsi="Arial" w:cs="Arial"/>
              </w:rPr>
              <w:t>0</w:t>
            </w:r>
          </w:p>
        </w:tc>
        <w:tc>
          <w:tcPr>
            <w:tcW w:w="2256" w:type="dxa"/>
          </w:tcPr>
          <w:p w14:paraId="3BB03FD7" w14:textId="31A44A32" w:rsidR="00453CD0" w:rsidRPr="005F6CBD" w:rsidRDefault="0005530B" w:rsidP="00CC7F1E">
            <w:pPr>
              <w:pStyle w:val="ListParagraph"/>
              <w:spacing w:after="120" w:line="360" w:lineRule="auto"/>
              <w:ind w:left="0"/>
              <w:contextualSpacing w:val="0"/>
              <w:jc w:val="both"/>
              <w:rPr>
                <w:rFonts w:ascii="Arial" w:hAnsi="Arial" w:cs="Arial"/>
              </w:rPr>
            </w:pPr>
            <w:r w:rsidRPr="0082457C">
              <w:rPr>
                <w:rFonts w:ascii="Arial" w:hAnsi="Arial" w:cs="Arial"/>
              </w:rPr>
              <w:t>10</w:t>
            </w:r>
          </w:p>
        </w:tc>
      </w:tr>
      <w:tr w:rsidR="00BA7A87" w:rsidRPr="00E07F80" w14:paraId="672BCF42" w14:textId="77777777" w:rsidTr="00C85253">
        <w:trPr>
          <w:jc w:val="center"/>
        </w:trPr>
        <w:tc>
          <w:tcPr>
            <w:tcW w:w="3114" w:type="dxa"/>
          </w:tcPr>
          <w:p w14:paraId="2BDDC120" w14:textId="1091E791" w:rsidR="00BA7A87" w:rsidRPr="00AB67B9" w:rsidRDefault="00BA7A87" w:rsidP="00CC7F1E">
            <w:pPr>
              <w:pStyle w:val="ListParagraph"/>
              <w:spacing w:after="120" w:line="360" w:lineRule="auto"/>
              <w:ind w:left="0"/>
              <w:contextualSpacing w:val="0"/>
              <w:jc w:val="both"/>
              <w:rPr>
                <w:rFonts w:ascii="Arial" w:hAnsi="Arial" w:cs="Arial"/>
              </w:rPr>
            </w:pPr>
            <w:r w:rsidRPr="00AB67B9">
              <w:rPr>
                <w:rFonts w:ascii="Arial" w:hAnsi="Arial" w:cs="Arial"/>
              </w:rPr>
              <w:t xml:space="preserve">A short, detailed methodology/proposal on </w:t>
            </w:r>
            <w:r w:rsidRPr="00AB67B9">
              <w:rPr>
                <w:rFonts w:ascii="Arial" w:hAnsi="Arial" w:cs="Arial"/>
              </w:rPr>
              <w:lastRenderedPageBreak/>
              <w:t>how the assignment will be delivered</w:t>
            </w:r>
          </w:p>
        </w:tc>
        <w:tc>
          <w:tcPr>
            <w:tcW w:w="3260" w:type="dxa"/>
          </w:tcPr>
          <w:p w14:paraId="7546A457" w14:textId="390C86FE" w:rsidR="00BA7A87" w:rsidRPr="00AB67B9" w:rsidRDefault="00D9234F" w:rsidP="00CC7F1E">
            <w:pPr>
              <w:pStyle w:val="ListParagraph"/>
              <w:spacing w:after="120" w:line="360" w:lineRule="auto"/>
              <w:ind w:left="0"/>
              <w:contextualSpacing w:val="0"/>
              <w:jc w:val="both"/>
              <w:rPr>
                <w:rFonts w:ascii="Arial" w:hAnsi="Arial" w:cs="Arial"/>
              </w:rPr>
            </w:pPr>
            <w:r>
              <w:rPr>
                <w:rFonts w:ascii="Arial" w:hAnsi="Arial" w:cs="Arial"/>
              </w:rPr>
              <w:lastRenderedPageBreak/>
              <w:t>10</w:t>
            </w:r>
          </w:p>
        </w:tc>
        <w:tc>
          <w:tcPr>
            <w:tcW w:w="2256" w:type="dxa"/>
          </w:tcPr>
          <w:p w14:paraId="321B94E4" w14:textId="5EB9F26D" w:rsidR="00BA7A87" w:rsidRPr="00AB67B9" w:rsidRDefault="00F12AA2" w:rsidP="00CC7F1E">
            <w:pPr>
              <w:pStyle w:val="ListParagraph"/>
              <w:spacing w:after="120" w:line="360" w:lineRule="auto"/>
              <w:ind w:left="0"/>
              <w:contextualSpacing w:val="0"/>
              <w:jc w:val="both"/>
              <w:rPr>
                <w:rFonts w:ascii="Arial" w:hAnsi="Arial" w:cs="Arial"/>
              </w:rPr>
            </w:pPr>
            <w:r w:rsidRPr="00AB67B9">
              <w:rPr>
                <w:rFonts w:ascii="Arial" w:hAnsi="Arial" w:cs="Arial"/>
              </w:rPr>
              <w:t>20</w:t>
            </w:r>
          </w:p>
        </w:tc>
      </w:tr>
      <w:tr w:rsidR="00813BCB" w:rsidRPr="00E07F80" w14:paraId="39382FD3" w14:textId="77777777" w:rsidTr="00C85253">
        <w:trPr>
          <w:jc w:val="center"/>
        </w:trPr>
        <w:tc>
          <w:tcPr>
            <w:tcW w:w="3114" w:type="dxa"/>
          </w:tcPr>
          <w:p w14:paraId="2590B565" w14:textId="30A38ED3" w:rsidR="00453CD0" w:rsidRPr="005F6CBD" w:rsidRDefault="00975C0D" w:rsidP="00CC7F1E">
            <w:pPr>
              <w:pStyle w:val="ListParagraph"/>
              <w:spacing w:after="120" w:line="360" w:lineRule="auto"/>
              <w:ind w:left="0"/>
              <w:contextualSpacing w:val="0"/>
              <w:jc w:val="both"/>
              <w:rPr>
                <w:rFonts w:ascii="Arial" w:eastAsia="Times New Roman" w:hAnsi="Arial" w:cs="Arial"/>
              </w:rPr>
            </w:pPr>
            <w:r w:rsidRPr="00AB67B9">
              <w:rPr>
                <w:rFonts w:ascii="Arial" w:hAnsi="Arial" w:cs="Arial"/>
              </w:rPr>
              <w:t>Total</w:t>
            </w:r>
          </w:p>
        </w:tc>
        <w:tc>
          <w:tcPr>
            <w:tcW w:w="3260" w:type="dxa"/>
          </w:tcPr>
          <w:p w14:paraId="3B8B9A77" w14:textId="3B260306" w:rsidR="00453CD0" w:rsidRPr="005F6CBD" w:rsidRDefault="00D9234F" w:rsidP="00CC7F1E">
            <w:pPr>
              <w:pStyle w:val="ListParagraph"/>
              <w:spacing w:after="120" w:line="360" w:lineRule="auto"/>
              <w:ind w:left="0"/>
              <w:contextualSpacing w:val="0"/>
              <w:jc w:val="both"/>
              <w:rPr>
                <w:rFonts w:ascii="Arial" w:hAnsi="Arial" w:cs="Arial"/>
              </w:rPr>
            </w:pPr>
            <w:r>
              <w:rPr>
                <w:rFonts w:ascii="Arial" w:hAnsi="Arial" w:cs="Arial"/>
              </w:rPr>
              <w:t>3</w:t>
            </w:r>
            <w:r w:rsidR="00975C0D" w:rsidRPr="00AB67B9">
              <w:rPr>
                <w:rFonts w:ascii="Arial" w:hAnsi="Arial" w:cs="Arial"/>
              </w:rPr>
              <w:t>0</w:t>
            </w:r>
          </w:p>
        </w:tc>
        <w:tc>
          <w:tcPr>
            <w:tcW w:w="2256" w:type="dxa"/>
          </w:tcPr>
          <w:p w14:paraId="75B1989A" w14:textId="3C4ED79E" w:rsidR="00453CD0" w:rsidRPr="005F6CBD" w:rsidRDefault="00F12AA2" w:rsidP="00CC7F1E">
            <w:pPr>
              <w:pStyle w:val="ListParagraph"/>
              <w:spacing w:after="120" w:line="360" w:lineRule="auto"/>
              <w:ind w:left="0"/>
              <w:contextualSpacing w:val="0"/>
              <w:jc w:val="both"/>
              <w:rPr>
                <w:rFonts w:ascii="Arial" w:hAnsi="Arial" w:cs="Arial"/>
              </w:rPr>
            </w:pPr>
            <w:r w:rsidRPr="00AB67B9">
              <w:rPr>
                <w:rFonts w:ascii="Arial" w:hAnsi="Arial" w:cs="Arial"/>
              </w:rPr>
              <w:t>1</w:t>
            </w:r>
            <w:r w:rsidR="00975C0D" w:rsidRPr="00AB67B9">
              <w:rPr>
                <w:rFonts w:ascii="Arial" w:hAnsi="Arial" w:cs="Arial"/>
              </w:rPr>
              <w:t>0</w:t>
            </w:r>
            <w:r w:rsidRPr="00AB67B9">
              <w:rPr>
                <w:rFonts w:ascii="Arial" w:hAnsi="Arial" w:cs="Arial"/>
              </w:rPr>
              <w:t>0</w:t>
            </w:r>
          </w:p>
        </w:tc>
      </w:tr>
    </w:tbl>
    <w:p w14:paraId="76962438" w14:textId="77777777" w:rsidR="005F2AB7" w:rsidRDefault="005F2AB7" w:rsidP="00CC7F1E">
      <w:pPr>
        <w:pStyle w:val="ListParagraph"/>
        <w:spacing w:after="120" w:line="360" w:lineRule="auto"/>
        <w:ind w:left="0"/>
        <w:contextualSpacing w:val="0"/>
        <w:jc w:val="both"/>
        <w:rPr>
          <w:rFonts w:ascii="Arial" w:hAnsi="Arial" w:cs="Arial"/>
        </w:rPr>
      </w:pPr>
    </w:p>
    <w:p w14:paraId="2679CD6A" w14:textId="57BBD0D5" w:rsidR="00773286" w:rsidRPr="00E07F80" w:rsidRDefault="00773286" w:rsidP="00CC7F1E">
      <w:pPr>
        <w:pStyle w:val="ListParagraph"/>
        <w:spacing w:after="120" w:line="360" w:lineRule="auto"/>
        <w:ind w:left="0"/>
        <w:contextualSpacing w:val="0"/>
        <w:jc w:val="both"/>
        <w:rPr>
          <w:rFonts w:ascii="Arial" w:hAnsi="Arial" w:cs="Arial"/>
        </w:rPr>
      </w:pPr>
      <w:r w:rsidRPr="00E07F80">
        <w:rPr>
          <w:rFonts w:ascii="Arial" w:hAnsi="Arial" w:cs="Arial"/>
        </w:rPr>
        <w:t xml:space="preserve">The </w:t>
      </w:r>
      <w:r w:rsidR="003769EE" w:rsidRPr="00E07F80">
        <w:rPr>
          <w:rFonts w:ascii="Arial" w:hAnsi="Arial" w:cs="Arial"/>
        </w:rPr>
        <w:t>abovementioned work experience will be scored</w:t>
      </w:r>
      <w:r w:rsidRPr="00E07F80">
        <w:rPr>
          <w:rFonts w:ascii="Arial" w:hAnsi="Arial" w:cs="Arial"/>
        </w:rPr>
        <w:t xml:space="preserve"> based on the information provided in the CV</w:t>
      </w:r>
      <w:r w:rsidR="00453CD0" w:rsidRPr="00E07F80">
        <w:rPr>
          <w:rFonts w:ascii="Arial" w:hAnsi="Arial" w:cs="Arial"/>
        </w:rPr>
        <w:t xml:space="preserve"> and </w:t>
      </w:r>
      <w:r w:rsidR="004941A7">
        <w:rPr>
          <w:rFonts w:ascii="Arial" w:hAnsi="Arial" w:cs="Arial"/>
        </w:rPr>
        <w:t>confirmed by</w:t>
      </w:r>
      <w:r w:rsidR="00453CD0" w:rsidRPr="00E07F80">
        <w:rPr>
          <w:rFonts w:ascii="Arial" w:hAnsi="Arial" w:cs="Arial"/>
        </w:rPr>
        <w:t xml:space="preserve"> the </w:t>
      </w:r>
      <w:r w:rsidR="00453CD0" w:rsidRPr="00E07F80">
        <w:rPr>
          <w:rFonts w:ascii="Arial" w:eastAsia="Times New Roman" w:hAnsi="Arial" w:cs="Arial"/>
        </w:rPr>
        <w:t xml:space="preserve">reference letters as per point 6) of this </w:t>
      </w:r>
      <w:proofErr w:type="spellStart"/>
      <w:r w:rsidR="00453CD0" w:rsidRPr="00E07F80">
        <w:rPr>
          <w:rFonts w:ascii="Arial" w:eastAsia="Times New Roman" w:hAnsi="Arial" w:cs="Arial"/>
        </w:rPr>
        <w:t>ToR</w:t>
      </w:r>
      <w:proofErr w:type="spellEnd"/>
      <w:r w:rsidR="00453CD0" w:rsidRPr="00E07F80">
        <w:rPr>
          <w:rFonts w:ascii="Arial" w:eastAsia="Times New Roman" w:hAnsi="Arial" w:cs="Arial"/>
        </w:rPr>
        <w:t>.</w:t>
      </w:r>
      <w:r w:rsidRPr="00E07F80">
        <w:rPr>
          <w:rFonts w:ascii="Arial" w:hAnsi="Arial" w:cs="Arial"/>
        </w:rPr>
        <w:t xml:space="preserve"> </w:t>
      </w:r>
    </w:p>
    <w:p w14:paraId="67025F20" w14:textId="37B2AB74" w:rsidR="00427150" w:rsidRPr="00E07F80" w:rsidRDefault="003769EE" w:rsidP="00CC7F1E">
      <w:pPr>
        <w:pStyle w:val="ListParagraph"/>
        <w:spacing w:after="120" w:line="360" w:lineRule="auto"/>
        <w:ind w:left="0"/>
        <w:contextualSpacing w:val="0"/>
        <w:jc w:val="both"/>
        <w:rPr>
          <w:rFonts w:ascii="Arial" w:hAnsi="Arial" w:cs="Arial"/>
        </w:rPr>
      </w:pPr>
      <w:r w:rsidRPr="00E07F80">
        <w:rPr>
          <w:rFonts w:ascii="Arial" w:hAnsi="Arial" w:cs="Arial"/>
        </w:rPr>
        <w:t>The total</w:t>
      </w:r>
      <w:r w:rsidR="00427150" w:rsidRPr="00E07F80">
        <w:rPr>
          <w:rFonts w:ascii="Arial" w:hAnsi="Arial" w:cs="Arial"/>
        </w:rPr>
        <w:t xml:space="preserve"> maximum score for the selection criteria is </w:t>
      </w:r>
      <w:r w:rsidR="00F12AA2">
        <w:rPr>
          <w:rFonts w:ascii="Arial" w:hAnsi="Arial" w:cs="Arial"/>
        </w:rPr>
        <w:t>100</w:t>
      </w:r>
      <w:r w:rsidR="00427150" w:rsidRPr="00E07F80">
        <w:rPr>
          <w:rFonts w:ascii="Arial" w:hAnsi="Arial" w:cs="Arial"/>
        </w:rPr>
        <w:t xml:space="preserve">. </w:t>
      </w:r>
      <w:r w:rsidR="00E10B7B" w:rsidRPr="00E07F80">
        <w:rPr>
          <w:rFonts w:ascii="Arial" w:hAnsi="Arial" w:cs="Arial"/>
        </w:rPr>
        <w:t>The total</w:t>
      </w:r>
      <w:r w:rsidR="00492B17" w:rsidRPr="00E07F80">
        <w:rPr>
          <w:rFonts w:ascii="Arial" w:hAnsi="Arial" w:cs="Arial"/>
        </w:rPr>
        <w:t xml:space="preserve"> maximum score for the financial offer is 20.</w:t>
      </w:r>
    </w:p>
    <w:p w14:paraId="67AD951A" w14:textId="05498598" w:rsidR="00C5310B" w:rsidRPr="00E07F80" w:rsidRDefault="00E10B7B" w:rsidP="00CC7F1E">
      <w:pPr>
        <w:pStyle w:val="ListParagraph"/>
        <w:spacing w:after="120" w:line="360" w:lineRule="auto"/>
        <w:ind w:left="0"/>
        <w:contextualSpacing w:val="0"/>
        <w:jc w:val="both"/>
        <w:rPr>
          <w:rFonts w:ascii="Arial" w:hAnsi="Arial" w:cs="Arial"/>
        </w:rPr>
      </w:pPr>
      <w:r w:rsidRPr="00E07F80">
        <w:rPr>
          <w:rFonts w:ascii="Arial" w:hAnsi="Arial" w:cs="Arial"/>
        </w:rPr>
        <w:t xml:space="preserve">The offer with the highest score, combining work experience and offered price, will be proposed for the assignment, and the </w:t>
      </w:r>
      <w:r w:rsidR="6EE3ECE9" w:rsidRPr="00E07F80">
        <w:rPr>
          <w:rFonts w:ascii="Arial" w:hAnsi="Arial" w:cs="Arial"/>
        </w:rPr>
        <w:t>contract shall be signed</w:t>
      </w:r>
      <w:r w:rsidR="00492B17" w:rsidRPr="00E07F80">
        <w:rPr>
          <w:rFonts w:ascii="Arial" w:hAnsi="Arial" w:cs="Arial"/>
        </w:rPr>
        <w:t>.</w:t>
      </w:r>
    </w:p>
    <w:p w14:paraId="33F5EE72" w14:textId="4C979852" w:rsidR="0C8ED5B4" w:rsidRDefault="0C8ED5B4" w:rsidP="00CC7F1E">
      <w:pPr>
        <w:pStyle w:val="ListParagraph"/>
        <w:spacing w:after="120" w:line="360" w:lineRule="auto"/>
        <w:ind w:left="0"/>
        <w:contextualSpacing w:val="0"/>
        <w:jc w:val="both"/>
        <w:rPr>
          <w:rFonts w:ascii="Arial" w:hAnsi="Arial" w:cs="Arial"/>
        </w:rPr>
      </w:pPr>
      <w:r w:rsidRPr="00E07F80">
        <w:rPr>
          <w:rFonts w:ascii="Arial" w:hAnsi="Arial" w:cs="Arial"/>
        </w:rPr>
        <w:t>No subcontracting is allowed for the assignment.</w:t>
      </w:r>
    </w:p>
    <w:p w14:paraId="6EED5D3B" w14:textId="77777777" w:rsidR="000B6141" w:rsidRPr="004F1EDD" w:rsidRDefault="000B6141" w:rsidP="00AB67B9">
      <w:pPr>
        <w:pStyle w:val="Heading2"/>
        <w:tabs>
          <w:tab w:val="left" w:pos="567"/>
        </w:tabs>
        <w:spacing w:before="0" w:after="120" w:line="360" w:lineRule="auto"/>
        <w:rPr>
          <w:rFonts w:cstheme="minorHAnsi"/>
        </w:rPr>
      </w:pPr>
      <w:r w:rsidRPr="004F1EDD">
        <w:rPr>
          <w:rFonts w:cstheme="minorHAnsi"/>
        </w:rPr>
        <w:t>Ranking of tenders</w:t>
      </w:r>
    </w:p>
    <w:p w14:paraId="231E8CDB" w14:textId="616CE5CC" w:rsidR="000B6141" w:rsidRPr="00CA219A" w:rsidRDefault="000B6141" w:rsidP="00AB67B9">
      <w:pPr>
        <w:pStyle w:val="Text1"/>
        <w:tabs>
          <w:tab w:val="left" w:pos="567"/>
        </w:tabs>
        <w:spacing w:before="0" w:beforeAutospacing="0" w:after="120" w:afterAutospacing="0" w:line="360" w:lineRule="auto"/>
        <w:rPr>
          <w:rFonts w:ascii="Arial" w:eastAsiaTheme="minorEastAsia" w:hAnsi="Arial" w:cs="Arial"/>
          <w:b w:val="0"/>
          <w:sz w:val="22"/>
          <w:szCs w:val="22"/>
        </w:rPr>
      </w:pPr>
      <w:r w:rsidRPr="00CA219A">
        <w:rPr>
          <w:rFonts w:ascii="Arial" w:eastAsiaTheme="minorEastAsia" w:hAnsi="Arial" w:cs="Arial"/>
          <w:b w:val="0"/>
          <w:sz w:val="22"/>
          <w:szCs w:val="22"/>
        </w:rPr>
        <w:t xml:space="preserve">The contract will be awarded to the most economically advantageous tender, i.e. the tender offering the best price-quality ratio determined in accordance with the formula below. A weight of 80/20 is given to quality and price. </w:t>
      </w:r>
    </w:p>
    <w:tbl>
      <w:tblPr>
        <w:tblW w:w="9034" w:type="dxa"/>
        <w:tblInd w:w="-108" w:type="dxa"/>
        <w:tblLayout w:type="fixed"/>
        <w:tblLook w:val="04A0" w:firstRow="1" w:lastRow="0" w:firstColumn="1" w:lastColumn="0" w:noHBand="0" w:noVBand="1"/>
      </w:tblPr>
      <w:tblGrid>
        <w:gridCol w:w="1237"/>
        <w:gridCol w:w="426"/>
        <w:gridCol w:w="1417"/>
        <w:gridCol w:w="284"/>
        <w:gridCol w:w="1046"/>
        <w:gridCol w:w="371"/>
        <w:gridCol w:w="709"/>
        <w:gridCol w:w="425"/>
        <w:gridCol w:w="2023"/>
        <w:gridCol w:w="387"/>
        <w:gridCol w:w="709"/>
      </w:tblGrid>
      <w:tr w:rsidR="000B6141" w:rsidRPr="00A265A5" w14:paraId="14E37690" w14:textId="77777777">
        <w:trPr>
          <w:trHeight w:val="231"/>
        </w:trPr>
        <w:tc>
          <w:tcPr>
            <w:tcW w:w="1237" w:type="dxa"/>
            <w:tcBorders>
              <w:top w:val="single" w:sz="4" w:space="0" w:color="auto"/>
              <w:left w:val="single" w:sz="4" w:space="0" w:color="auto"/>
              <w:bottom w:val="single" w:sz="4" w:space="0" w:color="auto"/>
              <w:right w:val="single" w:sz="4" w:space="0" w:color="auto"/>
            </w:tcBorders>
          </w:tcPr>
          <w:p w14:paraId="660E811A" w14:textId="3DEB91EC"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Score for tender X </w:t>
            </w:r>
          </w:p>
        </w:tc>
        <w:tc>
          <w:tcPr>
            <w:tcW w:w="426" w:type="dxa"/>
            <w:tcBorders>
              <w:top w:val="single" w:sz="4" w:space="0" w:color="auto"/>
              <w:left w:val="single" w:sz="4" w:space="0" w:color="auto"/>
              <w:bottom w:val="single" w:sz="4" w:space="0" w:color="auto"/>
              <w:right w:val="single" w:sz="4" w:space="0" w:color="auto"/>
            </w:tcBorders>
          </w:tcPr>
          <w:p w14:paraId="557BB097"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 </w:t>
            </w:r>
          </w:p>
        </w:tc>
        <w:tc>
          <w:tcPr>
            <w:tcW w:w="1417" w:type="dxa"/>
            <w:tcBorders>
              <w:top w:val="single" w:sz="4" w:space="0" w:color="auto"/>
              <w:left w:val="single" w:sz="4" w:space="0" w:color="auto"/>
              <w:bottom w:val="single" w:sz="4" w:space="0" w:color="auto"/>
              <w:right w:val="single" w:sz="4" w:space="0" w:color="auto"/>
            </w:tcBorders>
          </w:tcPr>
          <w:p w14:paraId="05326B26"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cheapest price</w:t>
            </w:r>
          </w:p>
          <w:p w14:paraId="7A453F8F"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__________</w:t>
            </w:r>
          </w:p>
          <w:p w14:paraId="4DA437FA"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price of tender X </w:t>
            </w:r>
          </w:p>
        </w:tc>
        <w:tc>
          <w:tcPr>
            <w:tcW w:w="284" w:type="dxa"/>
            <w:tcBorders>
              <w:top w:val="single" w:sz="4" w:space="0" w:color="auto"/>
              <w:left w:val="single" w:sz="4" w:space="0" w:color="auto"/>
              <w:bottom w:val="single" w:sz="4" w:space="0" w:color="auto"/>
              <w:right w:val="single" w:sz="4" w:space="0" w:color="auto"/>
            </w:tcBorders>
          </w:tcPr>
          <w:p w14:paraId="3004425F"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 </w:t>
            </w:r>
          </w:p>
        </w:tc>
        <w:tc>
          <w:tcPr>
            <w:tcW w:w="1046" w:type="dxa"/>
            <w:tcBorders>
              <w:top w:val="single" w:sz="4" w:space="0" w:color="auto"/>
              <w:left w:val="single" w:sz="4" w:space="0" w:color="auto"/>
              <w:bottom w:val="single" w:sz="4" w:space="0" w:color="auto"/>
              <w:right w:val="single" w:sz="4" w:space="0" w:color="auto"/>
            </w:tcBorders>
          </w:tcPr>
          <w:p w14:paraId="2E72F41B"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100 </w:t>
            </w:r>
          </w:p>
        </w:tc>
        <w:tc>
          <w:tcPr>
            <w:tcW w:w="371" w:type="dxa"/>
            <w:tcBorders>
              <w:top w:val="single" w:sz="4" w:space="0" w:color="auto"/>
              <w:left w:val="single" w:sz="4" w:space="0" w:color="auto"/>
              <w:bottom w:val="single" w:sz="4" w:space="0" w:color="auto"/>
              <w:right w:val="single" w:sz="4" w:space="0" w:color="auto"/>
            </w:tcBorders>
          </w:tcPr>
          <w:p w14:paraId="0B0B6F20"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 </w:t>
            </w:r>
          </w:p>
        </w:tc>
        <w:tc>
          <w:tcPr>
            <w:tcW w:w="709" w:type="dxa"/>
            <w:tcBorders>
              <w:top w:val="single" w:sz="4" w:space="0" w:color="auto"/>
              <w:left w:val="single" w:sz="4" w:space="0" w:color="auto"/>
              <w:bottom w:val="single" w:sz="4" w:space="0" w:color="auto"/>
              <w:right w:val="single" w:sz="4" w:space="0" w:color="auto"/>
            </w:tcBorders>
          </w:tcPr>
          <w:p w14:paraId="50B2E4C2" w14:textId="552A0198"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20%</w:t>
            </w:r>
          </w:p>
        </w:tc>
        <w:tc>
          <w:tcPr>
            <w:tcW w:w="425" w:type="dxa"/>
            <w:tcBorders>
              <w:top w:val="single" w:sz="4" w:space="0" w:color="auto"/>
              <w:left w:val="single" w:sz="4" w:space="0" w:color="auto"/>
              <w:bottom w:val="single" w:sz="4" w:space="0" w:color="auto"/>
              <w:right w:val="single" w:sz="4" w:space="0" w:color="auto"/>
            </w:tcBorders>
          </w:tcPr>
          <w:p w14:paraId="79FEC0E9"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 </w:t>
            </w:r>
          </w:p>
        </w:tc>
        <w:tc>
          <w:tcPr>
            <w:tcW w:w="2023" w:type="dxa"/>
            <w:tcBorders>
              <w:top w:val="single" w:sz="4" w:space="0" w:color="auto"/>
              <w:left w:val="single" w:sz="4" w:space="0" w:color="auto"/>
              <w:bottom w:val="single" w:sz="4" w:space="0" w:color="auto"/>
              <w:right w:val="single" w:sz="4" w:space="0" w:color="auto"/>
            </w:tcBorders>
          </w:tcPr>
          <w:p w14:paraId="3D3BB410"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total quality score (out of 100) for all award criteria of tender X </w:t>
            </w:r>
          </w:p>
        </w:tc>
        <w:tc>
          <w:tcPr>
            <w:tcW w:w="387" w:type="dxa"/>
            <w:tcBorders>
              <w:top w:val="single" w:sz="4" w:space="0" w:color="auto"/>
              <w:left w:val="single" w:sz="4" w:space="0" w:color="auto"/>
              <w:bottom w:val="single" w:sz="4" w:space="0" w:color="auto"/>
              <w:right w:val="single" w:sz="4" w:space="0" w:color="auto"/>
            </w:tcBorders>
          </w:tcPr>
          <w:p w14:paraId="3677A8BF" w14:textId="77777777"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 </w:t>
            </w:r>
          </w:p>
        </w:tc>
        <w:tc>
          <w:tcPr>
            <w:tcW w:w="709" w:type="dxa"/>
            <w:tcBorders>
              <w:top w:val="single" w:sz="4" w:space="0" w:color="auto"/>
              <w:left w:val="single" w:sz="4" w:space="0" w:color="auto"/>
              <w:bottom w:val="single" w:sz="4" w:space="0" w:color="auto"/>
              <w:right w:val="single" w:sz="4" w:space="0" w:color="auto"/>
            </w:tcBorders>
          </w:tcPr>
          <w:p w14:paraId="2791868C" w14:textId="56584229" w:rsidR="000B6141" w:rsidRPr="00CA219A" w:rsidRDefault="000B6141" w:rsidP="00AB67B9">
            <w:pPr>
              <w:pStyle w:val="Text1"/>
              <w:tabs>
                <w:tab w:val="left" w:pos="567"/>
              </w:tabs>
              <w:spacing w:before="0" w:beforeAutospacing="0" w:after="120" w:afterAutospacing="0" w:line="360" w:lineRule="auto"/>
              <w:rPr>
                <w:rFonts w:ascii="Arial" w:eastAsiaTheme="minorHAnsi" w:hAnsi="Arial" w:cs="Arial"/>
                <w:b w:val="0"/>
                <w:sz w:val="22"/>
                <w:szCs w:val="22"/>
                <w:lang w:val="en-GB"/>
              </w:rPr>
            </w:pPr>
            <w:r w:rsidRPr="00CA219A">
              <w:rPr>
                <w:rFonts w:ascii="Arial" w:eastAsiaTheme="minorHAnsi" w:hAnsi="Arial" w:cs="Arial"/>
                <w:b w:val="0"/>
                <w:sz w:val="22"/>
                <w:szCs w:val="22"/>
                <w:lang w:val="en-GB"/>
              </w:rPr>
              <w:t xml:space="preserve">80% </w:t>
            </w:r>
          </w:p>
        </w:tc>
      </w:tr>
    </w:tbl>
    <w:p w14:paraId="754833A6" w14:textId="77777777" w:rsidR="000B6141" w:rsidRPr="004F1EDD" w:rsidRDefault="000B6141" w:rsidP="00AB67B9">
      <w:pPr>
        <w:tabs>
          <w:tab w:val="left" w:pos="567"/>
        </w:tabs>
        <w:spacing w:after="120" w:line="360" w:lineRule="auto"/>
        <w:rPr>
          <w:rFonts w:cstheme="minorHAnsi"/>
        </w:rPr>
      </w:pPr>
    </w:p>
    <w:p w14:paraId="41B2DB15" w14:textId="77777777" w:rsidR="0C8ED5B4" w:rsidRPr="00E07F80" w:rsidRDefault="0C8ED5B4" w:rsidP="00CC7F1E">
      <w:pPr>
        <w:pStyle w:val="ListParagraph"/>
        <w:spacing w:after="120" w:line="360" w:lineRule="auto"/>
        <w:ind w:left="0"/>
        <w:contextualSpacing w:val="0"/>
        <w:jc w:val="both"/>
        <w:rPr>
          <w:rFonts w:ascii="Arial" w:hAnsi="Arial" w:cs="Arial"/>
        </w:rPr>
      </w:pPr>
    </w:p>
    <w:sectPr w:rsidR="0C8ED5B4" w:rsidRPr="00E07F80" w:rsidSect="00ED2A1F">
      <w:headerReference w:type="default" r:id="rId16"/>
      <w:pgSz w:w="12240" w:h="15840"/>
      <w:pgMar w:top="1985" w:right="1440" w:bottom="1440" w:left="1440" w:header="720" w:footer="12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5BCF" w14:textId="77777777" w:rsidR="00532692" w:rsidRDefault="00532692" w:rsidP="00215525">
      <w:pPr>
        <w:spacing w:after="0" w:line="240" w:lineRule="auto"/>
      </w:pPr>
      <w:r>
        <w:separator/>
      </w:r>
    </w:p>
  </w:endnote>
  <w:endnote w:type="continuationSeparator" w:id="0">
    <w:p w14:paraId="490B320A" w14:textId="77777777" w:rsidR="00532692" w:rsidRDefault="00532692" w:rsidP="00215525">
      <w:pPr>
        <w:spacing w:after="0" w:line="240" w:lineRule="auto"/>
      </w:pPr>
      <w:r>
        <w:continuationSeparator/>
      </w:r>
    </w:p>
  </w:endnote>
  <w:endnote w:type="continuationNotice" w:id="1">
    <w:p w14:paraId="7BB2B0F6" w14:textId="77777777" w:rsidR="00532692" w:rsidRDefault="00532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C6C6" w14:textId="77777777" w:rsidR="00532692" w:rsidRDefault="00532692" w:rsidP="00215525">
      <w:pPr>
        <w:spacing w:after="0" w:line="240" w:lineRule="auto"/>
      </w:pPr>
      <w:r>
        <w:separator/>
      </w:r>
    </w:p>
  </w:footnote>
  <w:footnote w:type="continuationSeparator" w:id="0">
    <w:p w14:paraId="17BF0789" w14:textId="77777777" w:rsidR="00532692" w:rsidRDefault="00532692" w:rsidP="00215525">
      <w:pPr>
        <w:spacing w:after="0" w:line="240" w:lineRule="auto"/>
      </w:pPr>
      <w:r>
        <w:continuationSeparator/>
      </w:r>
    </w:p>
  </w:footnote>
  <w:footnote w:type="continuationNotice" w:id="1">
    <w:p w14:paraId="4E39EC38" w14:textId="77777777" w:rsidR="00532692" w:rsidRDefault="00532692">
      <w:pPr>
        <w:spacing w:after="0" w:line="240" w:lineRule="auto"/>
      </w:pPr>
    </w:p>
  </w:footnote>
  <w:footnote w:id="2">
    <w:p w14:paraId="65945AC6" w14:textId="77777777" w:rsidR="00215525" w:rsidRPr="00C9783F" w:rsidRDefault="00215525" w:rsidP="00F335C6">
      <w:pPr>
        <w:pStyle w:val="FootnoteText"/>
        <w:jc w:val="both"/>
        <w:rPr>
          <w:sz w:val="16"/>
          <w:szCs w:val="16"/>
        </w:rPr>
      </w:pPr>
      <w:r w:rsidRPr="00C9783F">
        <w:rPr>
          <w:sz w:val="16"/>
          <w:szCs w:val="16"/>
        </w:rPr>
        <w:t>* This designation is without prejudice to positions on status, and is in line with UNSCR 1244/1999 and the ICJ Opinion on the Kosovo declaration of independence</w:t>
      </w:r>
    </w:p>
    <w:p w14:paraId="37C8AC6B" w14:textId="7E010855" w:rsidR="00215525" w:rsidRPr="00C9783F" w:rsidRDefault="00215525" w:rsidP="00215525">
      <w:pPr>
        <w:pStyle w:val="FootnoteText"/>
        <w:rPr>
          <w:sz w:val="16"/>
          <w:szCs w:val="16"/>
        </w:rPr>
      </w:pPr>
      <w:r w:rsidRPr="00C9783F">
        <w:rPr>
          <w:rStyle w:val="FootnoteReference"/>
        </w:rPr>
        <w:footnoteRef/>
      </w:r>
      <w:r w:rsidRPr="00C9783F">
        <w:t xml:space="preserve"> </w:t>
      </w:r>
      <w:hyperlink r:id="rId1" w:history="1">
        <w:r w:rsidRPr="00C9783F">
          <w:rPr>
            <w:rStyle w:val="Hyperlink"/>
            <w:color w:val="auto"/>
            <w:sz w:val="16"/>
            <w:szCs w:val="16"/>
            <w:u w:val="none"/>
          </w:rPr>
          <w:t>https://www.transport-community.org/wp-content/uploads/2022/10/treaty-en.pdf</w:t>
        </w:r>
      </w:hyperlink>
      <w:r w:rsidRPr="00C9783F">
        <w:rPr>
          <w:rStyle w:val="Hyperlink"/>
          <w:color w:val="auto"/>
          <w:sz w:val="16"/>
          <w:szCs w:val="16"/>
          <w:u w:val="none"/>
        </w:rPr>
        <w:t xml:space="preserve"> </w:t>
      </w:r>
      <w:r w:rsidRPr="00C9783F">
        <w:rPr>
          <w:sz w:val="16"/>
          <w:szCs w:val="16"/>
        </w:rPr>
        <w:t xml:space="preserve"> </w:t>
      </w:r>
    </w:p>
  </w:footnote>
  <w:footnote w:id="3">
    <w:p w14:paraId="71523E77" w14:textId="439766C3" w:rsidR="00831C80" w:rsidRPr="00AB67B9" w:rsidRDefault="00831C80">
      <w:pPr>
        <w:pStyle w:val="FootnoteText"/>
        <w:rPr>
          <w:lang w:val="en-US"/>
        </w:rPr>
      </w:pPr>
      <w:r>
        <w:rPr>
          <w:rStyle w:val="FootnoteReference"/>
        </w:rPr>
        <w:footnoteRef/>
      </w:r>
      <w:r>
        <w:t xml:space="preserve"> </w:t>
      </w:r>
      <w:r w:rsidRPr="00AB67B9">
        <w:rPr>
          <w:rFonts w:ascii="Arial" w:hAnsi="Arial" w:cs="Arial"/>
          <w:sz w:val="18"/>
          <w:szCs w:val="18"/>
        </w:rPr>
        <w:t>https://qbz.gov.al/eli/vendim/2015/03/11/219/53377912-a59b-495a-9c3b-a244912bd50c;q=VKM%20219%20%E2%80%93%202015%20Konsultimi%20publik%20ne%20procesin%20e%20VSM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CB9F" w14:textId="0C608887" w:rsidR="00183341" w:rsidRDefault="00183341" w:rsidP="00183341">
    <w:pPr>
      <w:pStyle w:val="Header"/>
    </w:pPr>
    <w:r>
      <w:rPr>
        <w:noProof/>
      </w:rPr>
      <w:drawing>
        <wp:anchor distT="0" distB="0" distL="114300" distR="114300" simplePos="0" relativeHeight="251658240" behindDoc="1" locked="0" layoutInCell="1" allowOverlap="1" wp14:anchorId="236A1732" wp14:editId="492C815F">
          <wp:simplePos x="0" y="0"/>
          <wp:positionH relativeFrom="page">
            <wp:posOffset>355</wp:posOffset>
          </wp:positionH>
          <wp:positionV relativeFrom="paragraph">
            <wp:posOffset>-945515</wp:posOffset>
          </wp:positionV>
          <wp:extent cx="7559040" cy="10688822"/>
          <wp:effectExtent l="0" t="0" r="0" b="0"/>
          <wp:wrapNone/>
          <wp:docPr id="828185010" name="Picture 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6242" name="Picture 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8822"/>
                  </a:xfrm>
                  <a:prstGeom prst="rect">
                    <a:avLst/>
                  </a:prstGeom>
                </pic:spPr>
              </pic:pic>
            </a:graphicData>
          </a:graphic>
          <wp14:sizeRelH relativeFrom="margin">
            <wp14:pctWidth>0</wp14:pctWidth>
          </wp14:sizeRelH>
          <wp14:sizeRelV relativeFrom="margin">
            <wp14:pctHeight>0</wp14:pctHeight>
          </wp14:sizeRelV>
        </wp:anchor>
      </w:drawing>
    </w:r>
  </w:p>
  <w:p w14:paraId="115A6C3A" w14:textId="77777777" w:rsidR="00183341" w:rsidRDefault="00183341" w:rsidP="00183341">
    <w:pPr>
      <w:pStyle w:val="Header"/>
    </w:pPr>
  </w:p>
  <w:p w14:paraId="134EF9FC" w14:textId="77777777" w:rsidR="00183341" w:rsidRDefault="00183341" w:rsidP="00183341">
    <w:pPr>
      <w:pStyle w:val="Header"/>
    </w:pPr>
  </w:p>
  <w:p w14:paraId="3E6F45FD" w14:textId="520402D1" w:rsidR="000A7EF7" w:rsidRPr="00183341" w:rsidRDefault="00183341" w:rsidP="00183341">
    <w:pPr>
      <w:pStyle w:val="Header"/>
      <w:rPr>
        <w:rFonts w:ascii="Arial" w:hAnsi="Arial" w:cs="Arial"/>
        <w:sz w:val="18"/>
        <w:szCs w:val="18"/>
      </w:rPr>
    </w:pPr>
    <w:r w:rsidRPr="00183341">
      <w:rPr>
        <w:rFonts w:ascii="Arial" w:hAnsi="Arial" w:cs="Arial"/>
        <w:sz w:val="18"/>
        <w:szCs w:val="18"/>
      </w:rPr>
      <w:t xml:space="preserve">Ref. No. </w:t>
    </w:r>
    <w:r w:rsidR="000F7ED9">
      <w:rPr>
        <w:rFonts w:ascii="Arial" w:hAnsi="Arial" w:cs="Arial"/>
        <w:sz w:val="18"/>
        <w:szCs w:val="18"/>
      </w:rPr>
      <w:t>289</w:t>
    </w:r>
    <w:r w:rsidR="00CB4C19" w:rsidRPr="000F7ED9">
      <w:rPr>
        <w:rFonts w:ascii="Arial" w:hAnsi="Arial" w:cs="Arial"/>
        <w:sz w:val="18"/>
        <w:szCs w:val="18"/>
      </w:rPr>
      <w:t>/1</w:t>
    </w:r>
    <w:r w:rsidRPr="000F7ED9">
      <w:rPr>
        <w:rFonts w:ascii="Arial" w:hAnsi="Arial" w:cs="Arial"/>
        <w:sz w:val="18"/>
        <w:szCs w:val="18"/>
      </w:rPr>
      <w:t>-05-2026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915"/>
    <w:multiLevelType w:val="multilevel"/>
    <w:tmpl w:val="F016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F7717"/>
    <w:multiLevelType w:val="multilevel"/>
    <w:tmpl w:val="15D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C541B"/>
    <w:multiLevelType w:val="multilevel"/>
    <w:tmpl w:val="AC68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A5619"/>
    <w:multiLevelType w:val="multilevel"/>
    <w:tmpl w:val="799A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80A97"/>
    <w:multiLevelType w:val="multilevel"/>
    <w:tmpl w:val="E62495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75269"/>
    <w:multiLevelType w:val="multilevel"/>
    <w:tmpl w:val="A20C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65A4F"/>
    <w:multiLevelType w:val="multilevel"/>
    <w:tmpl w:val="C1487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C6775"/>
    <w:multiLevelType w:val="multilevel"/>
    <w:tmpl w:val="8E20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F3E39"/>
    <w:multiLevelType w:val="multilevel"/>
    <w:tmpl w:val="A6C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45191"/>
    <w:multiLevelType w:val="multilevel"/>
    <w:tmpl w:val="CD2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D6FC2"/>
    <w:multiLevelType w:val="multilevel"/>
    <w:tmpl w:val="44C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A515E"/>
    <w:multiLevelType w:val="hybridMultilevel"/>
    <w:tmpl w:val="99CA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8480C"/>
    <w:multiLevelType w:val="multilevel"/>
    <w:tmpl w:val="5E40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53E6"/>
    <w:multiLevelType w:val="multilevel"/>
    <w:tmpl w:val="C47A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912807"/>
    <w:multiLevelType w:val="hybridMultilevel"/>
    <w:tmpl w:val="8EAE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F35"/>
    <w:multiLevelType w:val="multilevel"/>
    <w:tmpl w:val="1500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07FD2"/>
    <w:multiLevelType w:val="multilevel"/>
    <w:tmpl w:val="E0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10460"/>
    <w:multiLevelType w:val="hybridMultilevel"/>
    <w:tmpl w:val="9BB28F30"/>
    <w:lvl w:ilvl="0" w:tplc="04090017">
      <w:start w:val="1"/>
      <w:numFmt w:val="lowerLetter"/>
      <w:lvlText w:val="%1)"/>
      <w:lvlJc w:val="left"/>
      <w:pPr>
        <w:ind w:left="360" w:hanging="360"/>
      </w:pPr>
      <w:rPr>
        <w:rFonts w:hint="default"/>
      </w:rPr>
    </w:lvl>
    <w:lvl w:ilvl="1" w:tplc="FFFFFFFF">
      <w:numFmt w:val="bullet"/>
      <w:lvlText w:val="-"/>
      <w:lvlJc w:val="left"/>
      <w:pPr>
        <w:ind w:left="1440" w:hanging="72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58A71F0"/>
    <w:multiLevelType w:val="multilevel"/>
    <w:tmpl w:val="9EA6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E6F66"/>
    <w:multiLevelType w:val="hybridMultilevel"/>
    <w:tmpl w:val="43CAFB64"/>
    <w:lvl w:ilvl="0" w:tplc="F09E5F98">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905CE"/>
    <w:multiLevelType w:val="hybridMultilevel"/>
    <w:tmpl w:val="828CD1CA"/>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9A63038"/>
    <w:multiLevelType w:val="multilevel"/>
    <w:tmpl w:val="42E8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5743F"/>
    <w:multiLevelType w:val="multilevel"/>
    <w:tmpl w:val="D8A0F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AA2346"/>
    <w:multiLevelType w:val="multilevel"/>
    <w:tmpl w:val="BF84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1F745B"/>
    <w:multiLevelType w:val="multilevel"/>
    <w:tmpl w:val="489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11683"/>
    <w:multiLevelType w:val="multilevel"/>
    <w:tmpl w:val="B6B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A76ACD"/>
    <w:multiLevelType w:val="multilevel"/>
    <w:tmpl w:val="ECF6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CE4E4D"/>
    <w:multiLevelType w:val="multilevel"/>
    <w:tmpl w:val="55AA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F114E4"/>
    <w:multiLevelType w:val="multilevel"/>
    <w:tmpl w:val="D870B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4C1F4D"/>
    <w:multiLevelType w:val="multilevel"/>
    <w:tmpl w:val="F004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259F9"/>
    <w:multiLevelType w:val="multilevel"/>
    <w:tmpl w:val="E4C0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B4EA0"/>
    <w:multiLevelType w:val="multilevel"/>
    <w:tmpl w:val="514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E1016"/>
    <w:multiLevelType w:val="multilevel"/>
    <w:tmpl w:val="C3FE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381C90"/>
    <w:multiLevelType w:val="multilevel"/>
    <w:tmpl w:val="FC0E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74E9B"/>
    <w:multiLevelType w:val="multilevel"/>
    <w:tmpl w:val="8C5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20E4F"/>
    <w:multiLevelType w:val="multilevel"/>
    <w:tmpl w:val="649A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06FA7"/>
    <w:multiLevelType w:val="multilevel"/>
    <w:tmpl w:val="6EC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94426"/>
    <w:multiLevelType w:val="multilevel"/>
    <w:tmpl w:val="416E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67F84"/>
    <w:multiLevelType w:val="hybridMultilevel"/>
    <w:tmpl w:val="79DA0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5A6CCF"/>
    <w:multiLevelType w:val="hybridMultilevel"/>
    <w:tmpl w:val="AB4AC7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47DA1"/>
    <w:multiLevelType w:val="multilevel"/>
    <w:tmpl w:val="B55E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2B7130"/>
    <w:multiLevelType w:val="multilevel"/>
    <w:tmpl w:val="233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22612"/>
    <w:multiLevelType w:val="multilevel"/>
    <w:tmpl w:val="561E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F0A06"/>
    <w:multiLevelType w:val="multilevel"/>
    <w:tmpl w:val="8EF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B21E72"/>
    <w:multiLevelType w:val="multilevel"/>
    <w:tmpl w:val="6FDA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37496"/>
    <w:multiLevelType w:val="multilevel"/>
    <w:tmpl w:val="C69A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357019">
    <w:abstractNumId w:val="19"/>
  </w:num>
  <w:num w:numId="2" w16cid:durableId="318656704">
    <w:abstractNumId w:val="17"/>
  </w:num>
  <w:num w:numId="3" w16cid:durableId="310596502">
    <w:abstractNumId w:val="40"/>
  </w:num>
  <w:num w:numId="4" w16cid:durableId="210266260">
    <w:abstractNumId w:val="28"/>
  </w:num>
  <w:num w:numId="5" w16cid:durableId="1668628238">
    <w:abstractNumId w:val="34"/>
  </w:num>
  <w:num w:numId="6" w16cid:durableId="969241757">
    <w:abstractNumId w:val="12"/>
  </w:num>
  <w:num w:numId="7" w16cid:durableId="1536581723">
    <w:abstractNumId w:val="20"/>
  </w:num>
  <w:num w:numId="8" w16cid:durableId="1560822062">
    <w:abstractNumId w:val="18"/>
  </w:num>
  <w:num w:numId="9" w16cid:durableId="1997175732">
    <w:abstractNumId w:val="10"/>
  </w:num>
  <w:num w:numId="10" w16cid:durableId="1221406207">
    <w:abstractNumId w:val="36"/>
  </w:num>
  <w:num w:numId="11" w16cid:durableId="694161745">
    <w:abstractNumId w:val="31"/>
  </w:num>
  <w:num w:numId="12" w16cid:durableId="1273050559">
    <w:abstractNumId w:val="1"/>
  </w:num>
  <w:num w:numId="13" w16cid:durableId="500435610">
    <w:abstractNumId w:val="7"/>
  </w:num>
  <w:num w:numId="14" w16cid:durableId="14118123">
    <w:abstractNumId w:val="32"/>
  </w:num>
  <w:num w:numId="15" w16cid:durableId="1736925850">
    <w:abstractNumId w:val="38"/>
  </w:num>
  <w:num w:numId="16" w16cid:durableId="753355783">
    <w:abstractNumId w:val="39"/>
  </w:num>
  <w:num w:numId="17" w16cid:durableId="2084402889">
    <w:abstractNumId w:val="22"/>
  </w:num>
  <w:num w:numId="18" w16cid:durableId="148980692">
    <w:abstractNumId w:val="42"/>
  </w:num>
  <w:num w:numId="19" w16cid:durableId="431632355">
    <w:abstractNumId w:val="25"/>
  </w:num>
  <w:num w:numId="20" w16cid:durableId="321786030">
    <w:abstractNumId w:val="29"/>
  </w:num>
  <w:num w:numId="21" w16cid:durableId="196815329">
    <w:abstractNumId w:val="6"/>
  </w:num>
  <w:num w:numId="22" w16cid:durableId="804203080">
    <w:abstractNumId w:val="24"/>
  </w:num>
  <w:num w:numId="23" w16cid:durableId="326637034">
    <w:abstractNumId w:val="26"/>
  </w:num>
  <w:num w:numId="24" w16cid:durableId="1752921928">
    <w:abstractNumId w:val="35"/>
  </w:num>
  <w:num w:numId="25" w16cid:durableId="1304193747">
    <w:abstractNumId w:val="30"/>
  </w:num>
  <w:num w:numId="26" w16cid:durableId="1222475327">
    <w:abstractNumId w:val="45"/>
  </w:num>
  <w:num w:numId="27" w16cid:durableId="1585647814">
    <w:abstractNumId w:val="5"/>
  </w:num>
  <w:num w:numId="28" w16cid:durableId="665863893">
    <w:abstractNumId w:val="13"/>
  </w:num>
  <w:num w:numId="29" w16cid:durableId="577329105">
    <w:abstractNumId w:val="8"/>
  </w:num>
  <w:num w:numId="30" w16cid:durableId="1087728880">
    <w:abstractNumId w:val="9"/>
  </w:num>
  <w:num w:numId="31" w16cid:durableId="1312441604">
    <w:abstractNumId w:val="3"/>
  </w:num>
  <w:num w:numId="32" w16cid:durableId="401106305">
    <w:abstractNumId w:val="33"/>
  </w:num>
  <w:num w:numId="33" w16cid:durableId="774986533">
    <w:abstractNumId w:val="23"/>
  </w:num>
  <w:num w:numId="34" w16cid:durableId="804078749">
    <w:abstractNumId w:val="37"/>
  </w:num>
  <w:num w:numId="35" w16cid:durableId="956911206">
    <w:abstractNumId w:val="2"/>
  </w:num>
  <w:num w:numId="36" w16cid:durableId="1600596563">
    <w:abstractNumId w:val="27"/>
  </w:num>
  <w:num w:numId="37" w16cid:durableId="1939634789">
    <w:abstractNumId w:val="16"/>
  </w:num>
  <w:num w:numId="38" w16cid:durableId="290133876">
    <w:abstractNumId w:val="21"/>
  </w:num>
  <w:num w:numId="39" w16cid:durableId="782267690">
    <w:abstractNumId w:val="0"/>
  </w:num>
  <w:num w:numId="40" w16cid:durableId="2050453959">
    <w:abstractNumId w:val="43"/>
  </w:num>
  <w:num w:numId="41" w16cid:durableId="445779906">
    <w:abstractNumId w:val="15"/>
  </w:num>
  <w:num w:numId="42" w16cid:durableId="1969043255">
    <w:abstractNumId w:val="4"/>
  </w:num>
  <w:num w:numId="43" w16cid:durableId="118571386">
    <w:abstractNumId w:val="44"/>
  </w:num>
  <w:num w:numId="44" w16cid:durableId="227768025">
    <w:abstractNumId w:val="41"/>
  </w:num>
  <w:num w:numId="45" w16cid:durableId="1087195045">
    <w:abstractNumId w:val="14"/>
  </w:num>
  <w:num w:numId="46" w16cid:durableId="130188557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yMzE3srC0NLA0tDRQ0lEKTi0uzszPAykwrQUA24ai5iwAAAA="/>
  </w:docVars>
  <w:rsids>
    <w:rsidRoot w:val="00FE79E9"/>
    <w:rsid w:val="00001F83"/>
    <w:rsid w:val="00005CD7"/>
    <w:rsid w:val="00006D49"/>
    <w:rsid w:val="00022218"/>
    <w:rsid w:val="00023CE5"/>
    <w:rsid w:val="00023E9A"/>
    <w:rsid w:val="00024539"/>
    <w:rsid w:val="000321AD"/>
    <w:rsid w:val="00033498"/>
    <w:rsid w:val="00033DB6"/>
    <w:rsid w:val="00033FFD"/>
    <w:rsid w:val="00035F7E"/>
    <w:rsid w:val="000368D2"/>
    <w:rsid w:val="00040036"/>
    <w:rsid w:val="00041655"/>
    <w:rsid w:val="00043070"/>
    <w:rsid w:val="00043361"/>
    <w:rsid w:val="0004344B"/>
    <w:rsid w:val="00045DC2"/>
    <w:rsid w:val="00047167"/>
    <w:rsid w:val="0005058F"/>
    <w:rsid w:val="000505EE"/>
    <w:rsid w:val="000540AC"/>
    <w:rsid w:val="00054762"/>
    <w:rsid w:val="00055151"/>
    <w:rsid w:val="0005530B"/>
    <w:rsid w:val="00055EB3"/>
    <w:rsid w:val="000607B4"/>
    <w:rsid w:val="0007078D"/>
    <w:rsid w:val="00072063"/>
    <w:rsid w:val="00073B51"/>
    <w:rsid w:val="00073EB4"/>
    <w:rsid w:val="000742CA"/>
    <w:rsid w:val="00075951"/>
    <w:rsid w:val="00076244"/>
    <w:rsid w:val="000765A2"/>
    <w:rsid w:val="00083B69"/>
    <w:rsid w:val="00084114"/>
    <w:rsid w:val="00085010"/>
    <w:rsid w:val="0009264B"/>
    <w:rsid w:val="000A0726"/>
    <w:rsid w:val="000A08B2"/>
    <w:rsid w:val="000A5228"/>
    <w:rsid w:val="000A6385"/>
    <w:rsid w:val="000A7EF7"/>
    <w:rsid w:val="000B1430"/>
    <w:rsid w:val="000B4491"/>
    <w:rsid w:val="000B6141"/>
    <w:rsid w:val="000B62EC"/>
    <w:rsid w:val="000B727C"/>
    <w:rsid w:val="000C1838"/>
    <w:rsid w:val="000C2E5D"/>
    <w:rsid w:val="000C31AD"/>
    <w:rsid w:val="000D03CF"/>
    <w:rsid w:val="000D0B60"/>
    <w:rsid w:val="000D1BF9"/>
    <w:rsid w:val="000D3D49"/>
    <w:rsid w:val="000D3E04"/>
    <w:rsid w:val="000E45D1"/>
    <w:rsid w:val="000E5400"/>
    <w:rsid w:val="000E554E"/>
    <w:rsid w:val="000F192A"/>
    <w:rsid w:val="000F1A8A"/>
    <w:rsid w:val="000F328B"/>
    <w:rsid w:val="000F6918"/>
    <w:rsid w:val="000F7ED9"/>
    <w:rsid w:val="0010000E"/>
    <w:rsid w:val="00103F6D"/>
    <w:rsid w:val="00104658"/>
    <w:rsid w:val="00106077"/>
    <w:rsid w:val="00110402"/>
    <w:rsid w:val="001112C2"/>
    <w:rsid w:val="00112339"/>
    <w:rsid w:val="00114676"/>
    <w:rsid w:val="00116B4F"/>
    <w:rsid w:val="001177A9"/>
    <w:rsid w:val="00120D76"/>
    <w:rsid w:val="00120F62"/>
    <w:rsid w:val="0012200F"/>
    <w:rsid w:val="00123CFD"/>
    <w:rsid w:val="001240CD"/>
    <w:rsid w:val="0013031A"/>
    <w:rsid w:val="001363ED"/>
    <w:rsid w:val="001410CC"/>
    <w:rsid w:val="00141D13"/>
    <w:rsid w:val="00142ABD"/>
    <w:rsid w:val="0014608B"/>
    <w:rsid w:val="0015015E"/>
    <w:rsid w:val="00151F78"/>
    <w:rsid w:val="00155AAE"/>
    <w:rsid w:val="00161E61"/>
    <w:rsid w:val="00164B20"/>
    <w:rsid w:val="00165C52"/>
    <w:rsid w:val="00172221"/>
    <w:rsid w:val="00174593"/>
    <w:rsid w:val="001754E7"/>
    <w:rsid w:val="001770DC"/>
    <w:rsid w:val="001772BE"/>
    <w:rsid w:val="00181B08"/>
    <w:rsid w:val="00182066"/>
    <w:rsid w:val="00183341"/>
    <w:rsid w:val="001834F7"/>
    <w:rsid w:val="001841A9"/>
    <w:rsid w:val="001912DE"/>
    <w:rsid w:val="001916A1"/>
    <w:rsid w:val="00192E7B"/>
    <w:rsid w:val="00194803"/>
    <w:rsid w:val="0019549F"/>
    <w:rsid w:val="00195ED1"/>
    <w:rsid w:val="001A1475"/>
    <w:rsid w:val="001A4EEF"/>
    <w:rsid w:val="001A7A39"/>
    <w:rsid w:val="001B3D19"/>
    <w:rsid w:val="001B4D49"/>
    <w:rsid w:val="001C1D37"/>
    <w:rsid w:val="001C6173"/>
    <w:rsid w:val="001C695F"/>
    <w:rsid w:val="001C7B31"/>
    <w:rsid w:val="001C7F79"/>
    <w:rsid w:val="001D0FA2"/>
    <w:rsid w:val="001D2702"/>
    <w:rsid w:val="001D3C57"/>
    <w:rsid w:val="001D673D"/>
    <w:rsid w:val="001E23FF"/>
    <w:rsid w:val="001E3651"/>
    <w:rsid w:val="001E5AB4"/>
    <w:rsid w:val="001F1A29"/>
    <w:rsid w:val="001F293B"/>
    <w:rsid w:val="001F3D71"/>
    <w:rsid w:val="001F557D"/>
    <w:rsid w:val="00200C21"/>
    <w:rsid w:val="00200E89"/>
    <w:rsid w:val="002017A9"/>
    <w:rsid w:val="002037FE"/>
    <w:rsid w:val="00205AB1"/>
    <w:rsid w:val="0020722B"/>
    <w:rsid w:val="0020764C"/>
    <w:rsid w:val="00210651"/>
    <w:rsid w:val="00215525"/>
    <w:rsid w:val="00215EDA"/>
    <w:rsid w:val="00216C9C"/>
    <w:rsid w:val="002172FD"/>
    <w:rsid w:val="002204FA"/>
    <w:rsid w:val="00220732"/>
    <w:rsid w:val="002212C5"/>
    <w:rsid w:val="00223DAE"/>
    <w:rsid w:val="002248C0"/>
    <w:rsid w:val="00224B99"/>
    <w:rsid w:val="002274F6"/>
    <w:rsid w:val="00231609"/>
    <w:rsid w:val="002326B1"/>
    <w:rsid w:val="00235E40"/>
    <w:rsid w:val="002361A0"/>
    <w:rsid w:val="00237AB4"/>
    <w:rsid w:val="0024021F"/>
    <w:rsid w:val="00240A2A"/>
    <w:rsid w:val="00245F9F"/>
    <w:rsid w:val="002460D1"/>
    <w:rsid w:val="00246C38"/>
    <w:rsid w:val="00246E88"/>
    <w:rsid w:val="0024720F"/>
    <w:rsid w:val="00252449"/>
    <w:rsid w:val="00253BFF"/>
    <w:rsid w:val="00253CE6"/>
    <w:rsid w:val="00255262"/>
    <w:rsid w:val="00255B94"/>
    <w:rsid w:val="00255FAD"/>
    <w:rsid w:val="00261663"/>
    <w:rsid w:val="00263B9B"/>
    <w:rsid w:val="00264726"/>
    <w:rsid w:val="002723A7"/>
    <w:rsid w:val="00272ED6"/>
    <w:rsid w:val="00273F7B"/>
    <w:rsid w:val="0027691B"/>
    <w:rsid w:val="00276FDC"/>
    <w:rsid w:val="00283CB9"/>
    <w:rsid w:val="00286B3E"/>
    <w:rsid w:val="00286B52"/>
    <w:rsid w:val="00287D27"/>
    <w:rsid w:val="00291D68"/>
    <w:rsid w:val="00294F8E"/>
    <w:rsid w:val="002965F4"/>
    <w:rsid w:val="00296C0B"/>
    <w:rsid w:val="002A2470"/>
    <w:rsid w:val="002A3C75"/>
    <w:rsid w:val="002A4A69"/>
    <w:rsid w:val="002B1BD4"/>
    <w:rsid w:val="002B31FE"/>
    <w:rsid w:val="002B3AE4"/>
    <w:rsid w:val="002B55BE"/>
    <w:rsid w:val="002C3A9F"/>
    <w:rsid w:val="002C525B"/>
    <w:rsid w:val="002C5A3E"/>
    <w:rsid w:val="002C64FB"/>
    <w:rsid w:val="002C7ED2"/>
    <w:rsid w:val="002D26EC"/>
    <w:rsid w:val="002E005B"/>
    <w:rsid w:val="002E1060"/>
    <w:rsid w:val="002E24E1"/>
    <w:rsid w:val="002E508B"/>
    <w:rsid w:val="002F1D61"/>
    <w:rsid w:val="002F2BE7"/>
    <w:rsid w:val="002F4A7A"/>
    <w:rsid w:val="002F5625"/>
    <w:rsid w:val="002F6B47"/>
    <w:rsid w:val="002F751F"/>
    <w:rsid w:val="00302354"/>
    <w:rsid w:val="003069D4"/>
    <w:rsid w:val="003072B5"/>
    <w:rsid w:val="00307C4D"/>
    <w:rsid w:val="00307C67"/>
    <w:rsid w:val="0031210D"/>
    <w:rsid w:val="00314836"/>
    <w:rsid w:val="003214AD"/>
    <w:rsid w:val="00325EC7"/>
    <w:rsid w:val="00326A18"/>
    <w:rsid w:val="00332F7F"/>
    <w:rsid w:val="0033697E"/>
    <w:rsid w:val="003435D6"/>
    <w:rsid w:val="00343D58"/>
    <w:rsid w:val="00344D64"/>
    <w:rsid w:val="0035289F"/>
    <w:rsid w:val="00352CB0"/>
    <w:rsid w:val="00354371"/>
    <w:rsid w:val="00356BA4"/>
    <w:rsid w:val="00360141"/>
    <w:rsid w:val="00363DBE"/>
    <w:rsid w:val="0036570F"/>
    <w:rsid w:val="00365A68"/>
    <w:rsid w:val="003769EE"/>
    <w:rsid w:val="00377092"/>
    <w:rsid w:val="00377511"/>
    <w:rsid w:val="00377BCB"/>
    <w:rsid w:val="00381797"/>
    <w:rsid w:val="00382FCF"/>
    <w:rsid w:val="00384FFD"/>
    <w:rsid w:val="00387298"/>
    <w:rsid w:val="003905C5"/>
    <w:rsid w:val="00390A72"/>
    <w:rsid w:val="00390FA0"/>
    <w:rsid w:val="003938DC"/>
    <w:rsid w:val="00393A5A"/>
    <w:rsid w:val="003974AA"/>
    <w:rsid w:val="003977DE"/>
    <w:rsid w:val="003A0025"/>
    <w:rsid w:val="003A0E97"/>
    <w:rsid w:val="003A1F36"/>
    <w:rsid w:val="003A21B5"/>
    <w:rsid w:val="003A56E9"/>
    <w:rsid w:val="003A6686"/>
    <w:rsid w:val="003A72E2"/>
    <w:rsid w:val="003B02F8"/>
    <w:rsid w:val="003B1525"/>
    <w:rsid w:val="003B2BA6"/>
    <w:rsid w:val="003B434D"/>
    <w:rsid w:val="003B5D70"/>
    <w:rsid w:val="003B6F1D"/>
    <w:rsid w:val="003C1665"/>
    <w:rsid w:val="003C329D"/>
    <w:rsid w:val="003C578D"/>
    <w:rsid w:val="003C710A"/>
    <w:rsid w:val="003C7F27"/>
    <w:rsid w:val="003D05C6"/>
    <w:rsid w:val="003E151A"/>
    <w:rsid w:val="003E23F6"/>
    <w:rsid w:val="003E55E7"/>
    <w:rsid w:val="003F0ADC"/>
    <w:rsid w:val="003F315E"/>
    <w:rsid w:val="003F56C5"/>
    <w:rsid w:val="004009CA"/>
    <w:rsid w:val="004042B6"/>
    <w:rsid w:val="00406F71"/>
    <w:rsid w:val="0041253D"/>
    <w:rsid w:val="00414B02"/>
    <w:rsid w:val="00414E2F"/>
    <w:rsid w:val="00417D3E"/>
    <w:rsid w:val="004207BE"/>
    <w:rsid w:val="00421904"/>
    <w:rsid w:val="00421D29"/>
    <w:rsid w:val="0042240E"/>
    <w:rsid w:val="00423FBC"/>
    <w:rsid w:val="00424203"/>
    <w:rsid w:val="00426A16"/>
    <w:rsid w:val="00427150"/>
    <w:rsid w:val="00427ACD"/>
    <w:rsid w:val="00433271"/>
    <w:rsid w:val="0043328F"/>
    <w:rsid w:val="00433956"/>
    <w:rsid w:val="0043457E"/>
    <w:rsid w:val="00440602"/>
    <w:rsid w:val="00441BEE"/>
    <w:rsid w:val="004443D5"/>
    <w:rsid w:val="00446B11"/>
    <w:rsid w:val="00446FF8"/>
    <w:rsid w:val="00447387"/>
    <w:rsid w:val="00447FB0"/>
    <w:rsid w:val="00447FE6"/>
    <w:rsid w:val="0045015A"/>
    <w:rsid w:val="00451198"/>
    <w:rsid w:val="00453CD0"/>
    <w:rsid w:val="00453EE5"/>
    <w:rsid w:val="00456B68"/>
    <w:rsid w:val="00457D7D"/>
    <w:rsid w:val="00460372"/>
    <w:rsid w:val="00460D56"/>
    <w:rsid w:val="0046268E"/>
    <w:rsid w:val="0046274F"/>
    <w:rsid w:val="004645AA"/>
    <w:rsid w:val="00465A94"/>
    <w:rsid w:val="00466995"/>
    <w:rsid w:val="00467D66"/>
    <w:rsid w:val="004710C6"/>
    <w:rsid w:val="004710DD"/>
    <w:rsid w:val="00471C09"/>
    <w:rsid w:val="004721CB"/>
    <w:rsid w:val="00472348"/>
    <w:rsid w:val="00474193"/>
    <w:rsid w:val="004753AB"/>
    <w:rsid w:val="0048219F"/>
    <w:rsid w:val="00483134"/>
    <w:rsid w:val="00485BEE"/>
    <w:rsid w:val="0049034B"/>
    <w:rsid w:val="00491FB2"/>
    <w:rsid w:val="00492B17"/>
    <w:rsid w:val="004941A7"/>
    <w:rsid w:val="00494626"/>
    <w:rsid w:val="004954A1"/>
    <w:rsid w:val="004971AF"/>
    <w:rsid w:val="004A724C"/>
    <w:rsid w:val="004A77BF"/>
    <w:rsid w:val="004B379C"/>
    <w:rsid w:val="004B3BA8"/>
    <w:rsid w:val="004B5A6C"/>
    <w:rsid w:val="004B7874"/>
    <w:rsid w:val="004C1B77"/>
    <w:rsid w:val="004C1D50"/>
    <w:rsid w:val="004C2D1A"/>
    <w:rsid w:val="004C40FE"/>
    <w:rsid w:val="004C6D26"/>
    <w:rsid w:val="004C7245"/>
    <w:rsid w:val="004D16E3"/>
    <w:rsid w:val="004D2D25"/>
    <w:rsid w:val="004D3644"/>
    <w:rsid w:val="004D3EA3"/>
    <w:rsid w:val="004D4190"/>
    <w:rsid w:val="004D4438"/>
    <w:rsid w:val="004D44E0"/>
    <w:rsid w:val="004E0BE0"/>
    <w:rsid w:val="004E243C"/>
    <w:rsid w:val="004E2997"/>
    <w:rsid w:val="004E37D9"/>
    <w:rsid w:val="004F5838"/>
    <w:rsid w:val="004F65FA"/>
    <w:rsid w:val="00501C2E"/>
    <w:rsid w:val="00503B72"/>
    <w:rsid w:val="005053A2"/>
    <w:rsid w:val="00506BCB"/>
    <w:rsid w:val="005119E3"/>
    <w:rsid w:val="00512CB1"/>
    <w:rsid w:val="00512EB9"/>
    <w:rsid w:val="005238BC"/>
    <w:rsid w:val="0052416F"/>
    <w:rsid w:val="0052482A"/>
    <w:rsid w:val="00532692"/>
    <w:rsid w:val="0053518C"/>
    <w:rsid w:val="00535B43"/>
    <w:rsid w:val="0053662A"/>
    <w:rsid w:val="00537307"/>
    <w:rsid w:val="00537A7C"/>
    <w:rsid w:val="005439BE"/>
    <w:rsid w:val="005479A7"/>
    <w:rsid w:val="00552CBE"/>
    <w:rsid w:val="005548BE"/>
    <w:rsid w:val="0055531C"/>
    <w:rsid w:val="005571AF"/>
    <w:rsid w:val="00557308"/>
    <w:rsid w:val="0056111D"/>
    <w:rsid w:val="00561E0D"/>
    <w:rsid w:val="00564F78"/>
    <w:rsid w:val="0056677C"/>
    <w:rsid w:val="00566B9F"/>
    <w:rsid w:val="005679FD"/>
    <w:rsid w:val="005810D5"/>
    <w:rsid w:val="00582459"/>
    <w:rsid w:val="0058264B"/>
    <w:rsid w:val="005837AD"/>
    <w:rsid w:val="00583842"/>
    <w:rsid w:val="00585046"/>
    <w:rsid w:val="00592982"/>
    <w:rsid w:val="00593CAA"/>
    <w:rsid w:val="00596DAF"/>
    <w:rsid w:val="00596EED"/>
    <w:rsid w:val="005A151D"/>
    <w:rsid w:val="005A3BAF"/>
    <w:rsid w:val="005A4E38"/>
    <w:rsid w:val="005A63E6"/>
    <w:rsid w:val="005A7C71"/>
    <w:rsid w:val="005B0B08"/>
    <w:rsid w:val="005B1695"/>
    <w:rsid w:val="005B26F6"/>
    <w:rsid w:val="005B38F0"/>
    <w:rsid w:val="005B3D9A"/>
    <w:rsid w:val="005B44F3"/>
    <w:rsid w:val="005B6334"/>
    <w:rsid w:val="005B73F3"/>
    <w:rsid w:val="005C2319"/>
    <w:rsid w:val="005C3248"/>
    <w:rsid w:val="005C3B04"/>
    <w:rsid w:val="005C46AB"/>
    <w:rsid w:val="005C4873"/>
    <w:rsid w:val="005C4E19"/>
    <w:rsid w:val="005D1B8C"/>
    <w:rsid w:val="005D6022"/>
    <w:rsid w:val="005D60A4"/>
    <w:rsid w:val="005E07D9"/>
    <w:rsid w:val="005E1202"/>
    <w:rsid w:val="005E4A6A"/>
    <w:rsid w:val="005F06EA"/>
    <w:rsid w:val="005F11CD"/>
    <w:rsid w:val="005F272D"/>
    <w:rsid w:val="005F2AB7"/>
    <w:rsid w:val="005F2BFD"/>
    <w:rsid w:val="005F3C91"/>
    <w:rsid w:val="005F6CBD"/>
    <w:rsid w:val="005F7CFE"/>
    <w:rsid w:val="006049C9"/>
    <w:rsid w:val="00604C3D"/>
    <w:rsid w:val="00612660"/>
    <w:rsid w:val="00617784"/>
    <w:rsid w:val="00617923"/>
    <w:rsid w:val="0062464C"/>
    <w:rsid w:val="00626ABD"/>
    <w:rsid w:val="00626BA9"/>
    <w:rsid w:val="00631383"/>
    <w:rsid w:val="006330E3"/>
    <w:rsid w:val="0063472B"/>
    <w:rsid w:val="00634D5C"/>
    <w:rsid w:val="00637EA5"/>
    <w:rsid w:val="00643EA4"/>
    <w:rsid w:val="00645F50"/>
    <w:rsid w:val="00647FC6"/>
    <w:rsid w:val="0065069B"/>
    <w:rsid w:val="00652B0E"/>
    <w:rsid w:val="006531C5"/>
    <w:rsid w:val="00653274"/>
    <w:rsid w:val="00653AF1"/>
    <w:rsid w:val="006544CA"/>
    <w:rsid w:val="006549B7"/>
    <w:rsid w:val="00655C2D"/>
    <w:rsid w:val="00656D49"/>
    <w:rsid w:val="00656FA0"/>
    <w:rsid w:val="006607FB"/>
    <w:rsid w:val="00662446"/>
    <w:rsid w:val="006626AE"/>
    <w:rsid w:val="00667E9E"/>
    <w:rsid w:val="00675B45"/>
    <w:rsid w:val="006761B2"/>
    <w:rsid w:val="0067755A"/>
    <w:rsid w:val="00680779"/>
    <w:rsid w:val="006813C2"/>
    <w:rsid w:val="00681E6C"/>
    <w:rsid w:val="006836A7"/>
    <w:rsid w:val="00685981"/>
    <w:rsid w:val="0068613A"/>
    <w:rsid w:val="00686E45"/>
    <w:rsid w:val="00687C54"/>
    <w:rsid w:val="00692653"/>
    <w:rsid w:val="00694ACB"/>
    <w:rsid w:val="006A0818"/>
    <w:rsid w:val="006A24D0"/>
    <w:rsid w:val="006A2A52"/>
    <w:rsid w:val="006A378E"/>
    <w:rsid w:val="006A4D71"/>
    <w:rsid w:val="006A5DBD"/>
    <w:rsid w:val="006A643A"/>
    <w:rsid w:val="006B2EBF"/>
    <w:rsid w:val="006B4038"/>
    <w:rsid w:val="006C019A"/>
    <w:rsid w:val="006C0AA3"/>
    <w:rsid w:val="006C519D"/>
    <w:rsid w:val="006C52A5"/>
    <w:rsid w:val="006C697E"/>
    <w:rsid w:val="006C7138"/>
    <w:rsid w:val="006D07D7"/>
    <w:rsid w:val="006D6251"/>
    <w:rsid w:val="006D754A"/>
    <w:rsid w:val="006E4716"/>
    <w:rsid w:val="006E4D3E"/>
    <w:rsid w:val="006E5005"/>
    <w:rsid w:val="006E7481"/>
    <w:rsid w:val="006F3A5F"/>
    <w:rsid w:val="006F3C51"/>
    <w:rsid w:val="006F471B"/>
    <w:rsid w:val="006F4A21"/>
    <w:rsid w:val="006F4D1B"/>
    <w:rsid w:val="006F4E0A"/>
    <w:rsid w:val="0070177F"/>
    <w:rsid w:val="00701DD9"/>
    <w:rsid w:val="00703ABE"/>
    <w:rsid w:val="007041FB"/>
    <w:rsid w:val="007106DA"/>
    <w:rsid w:val="0071306A"/>
    <w:rsid w:val="00713FD0"/>
    <w:rsid w:val="007240EF"/>
    <w:rsid w:val="007241D9"/>
    <w:rsid w:val="007254F5"/>
    <w:rsid w:val="00726BD0"/>
    <w:rsid w:val="00730A80"/>
    <w:rsid w:val="007358BD"/>
    <w:rsid w:val="00735B50"/>
    <w:rsid w:val="00735E26"/>
    <w:rsid w:val="00742FBC"/>
    <w:rsid w:val="007443F2"/>
    <w:rsid w:val="007448DD"/>
    <w:rsid w:val="0074501F"/>
    <w:rsid w:val="00746877"/>
    <w:rsid w:val="0075031B"/>
    <w:rsid w:val="00750AAA"/>
    <w:rsid w:val="0075142D"/>
    <w:rsid w:val="007529C5"/>
    <w:rsid w:val="00752A26"/>
    <w:rsid w:val="00753AD9"/>
    <w:rsid w:val="00756016"/>
    <w:rsid w:val="00757815"/>
    <w:rsid w:val="00766284"/>
    <w:rsid w:val="007701E6"/>
    <w:rsid w:val="00771330"/>
    <w:rsid w:val="00773286"/>
    <w:rsid w:val="00773988"/>
    <w:rsid w:val="00773C72"/>
    <w:rsid w:val="00782C0C"/>
    <w:rsid w:val="007877F6"/>
    <w:rsid w:val="007933BE"/>
    <w:rsid w:val="00793DDC"/>
    <w:rsid w:val="00795075"/>
    <w:rsid w:val="00795A02"/>
    <w:rsid w:val="00796DD2"/>
    <w:rsid w:val="007A20E5"/>
    <w:rsid w:val="007A5B46"/>
    <w:rsid w:val="007A6EE3"/>
    <w:rsid w:val="007A72C3"/>
    <w:rsid w:val="007A78D8"/>
    <w:rsid w:val="007B58E5"/>
    <w:rsid w:val="007B6944"/>
    <w:rsid w:val="007B7336"/>
    <w:rsid w:val="007B7D1C"/>
    <w:rsid w:val="007C2B39"/>
    <w:rsid w:val="007C6FBA"/>
    <w:rsid w:val="007C72F7"/>
    <w:rsid w:val="007D0878"/>
    <w:rsid w:val="007D58D9"/>
    <w:rsid w:val="007E098E"/>
    <w:rsid w:val="007E25A9"/>
    <w:rsid w:val="007E3D18"/>
    <w:rsid w:val="007E5222"/>
    <w:rsid w:val="007E6006"/>
    <w:rsid w:val="007E68D5"/>
    <w:rsid w:val="007F1CE9"/>
    <w:rsid w:val="007F65CA"/>
    <w:rsid w:val="007F7299"/>
    <w:rsid w:val="007F75F4"/>
    <w:rsid w:val="00801154"/>
    <w:rsid w:val="00803B87"/>
    <w:rsid w:val="00804D3D"/>
    <w:rsid w:val="00805C21"/>
    <w:rsid w:val="00813BCB"/>
    <w:rsid w:val="00814331"/>
    <w:rsid w:val="008167B3"/>
    <w:rsid w:val="00816CF6"/>
    <w:rsid w:val="008221BD"/>
    <w:rsid w:val="0082457C"/>
    <w:rsid w:val="008273C7"/>
    <w:rsid w:val="008277F1"/>
    <w:rsid w:val="00831C80"/>
    <w:rsid w:val="008357AD"/>
    <w:rsid w:val="00840648"/>
    <w:rsid w:val="008409A1"/>
    <w:rsid w:val="00842432"/>
    <w:rsid w:val="00846151"/>
    <w:rsid w:val="008475EE"/>
    <w:rsid w:val="00850A2F"/>
    <w:rsid w:val="00852641"/>
    <w:rsid w:val="008530E2"/>
    <w:rsid w:val="008565BE"/>
    <w:rsid w:val="00857192"/>
    <w:rsid w:val="008578B3"/>
    <w:rsid w:val="00857AD9"/>
    <w:rsid w:val="00860F92"/>
    <w:rsid w:val="00862CAB"/>
    <w:rsid w:val="00865AF0"/>
    <w:rsid w:val="00871DF3"/>
    <w:rsid w:val="008815CD"/>
    <w:rsid w:val="0088315C"/>
    <w:rsid w:val="008845FC"/>
    <w:rsid w:val="00890D95"/>
    <w:rsid w:val="0089108C"/>
    <w:rsid w:val="0089725A"/>
    <w:rsid w:val="00897A5C"/>
    <w:rsid w:val="008A13AF"/>
    <w:rsid w:val="008A1ECD"/>
    <w:rsid w:val="008A678E"/>
    <w:rsid w:val="008A6C4C"/>
    <w:rsid w:val="008A7003"/>
    <w:rsid w:val="008A74B2"/>
    <w:rsid w:val="008B013D"/>
    <w:rsid w:val="008B0141"/>
    <w:rsid w:val="008B1816"/>
    <w:rsid w:val="008B2057"/>
    <w:rsid w:val="008B2153"/>
    <w:rsid w:val="008B2592"/>
    <w:rsid w:val="008B482E"/>
    <w:rsid w:val="008B530F"/>
    <w:rsid w:val="008B6CA7"/>
    <w:rsid w:val="008B7F59"/>
    <w:rsid w:val="008C05EF"/>
    <w:rsid w:val="008C0ADC"/>
    <w:rsid w:val="008C12F5"/>
    <w:rsid w:val="008C1F1C"/>
    <w:rsid w:val="008C268A"/>
    <w:rsid w:val="008C2F83"/>
    <w:rsid w:val="008C589A"/>
    <w:rsid w:val="008C751A"/>
    <w:rsid w:val="008C7691"/>
    <w:rsid w:val="008D418B"/>
    <w:rsid w:val="008D4C1E"/>
    <w:rsid w:val="008D5228"/>
    <w:rsid w:val="008D6D9E"/>
    <w:rsid w:val="008E20B2"/>
    <w:rsid w:val="008E20D4"/>
    <w:rsid w:val="008E23A4"/>
    <w:rsid w:val="008E3525"/>
    <w:rsid w:val="008E7BFC"/>
    <w:rsid w:val="008E7FBF"/>
    <w:rsid w:val="008F0407"/>
    <w:rsid w:val="008F0A64"/>
    <w:rsid w:val="008F0E16"/>
    <w:rsid w:val="008F17FA"/>
    <w:rsid w:val="008F5470"/>
    <w:rsid w:val="008F7A60"/>
    <w:rsid w:val="009011A6"/>
    <w:rsid w:val="00903D55"/>
    <w:rsid w:val="0090478E"/>
    <w:rsid w:val="009116DD"/>
    <w:rsid w:val="009123B2"/>
    <w:rsid w:val="00913124"/>
    <w:rsid w:val="00914EE4"/>
    <w:rsid w:val="009169E4"/>
    <w:rsid w:val="00916FB8"/>
    <w:rsid w:val="009202E3"/>
    <w:rsid w:val="00921226"/>
    <w:rsid w:val="00921D1F"/>
    <w:rsid w:val="0092296D"/>
    <w:rsid w:val="009231C7"/>
    <w:rsid w:val="00924425"/>
    <w:rsid w:val="00925AC3"/>
    <w:rsid w:val="00927D53"/>
    <w:rsid w:val="00932310"/>
    <w:rsid w:val="00933458"/>
    <w:rsid w:val="00934B99"/>
    <w:rsid w:val="00934D23"/>
    <w:rsid w:val="00935062"/>
    <w:rsid w:val="00937179"/>
    <w:rsid w:val="00941C17"/>
    <w:rsid w:val="009432C4"/>
    <w:rsid w:val="009437BB"/>
    <w:rsid w:val="00943FD7"/>
    <w:rsid w:val="0094489D"/>
    <w:rsid w:val="00944C92"/>
    <w:rsid w:val="00945019"/>
    <w:rsid w:val="00945DFE"/>
    <w:rsid w:val="009470C0"/>
    <w:rsid w:val="00947290"/>
    <w:rsid w:val="00950C1F"/>
    <w:rsid w:val="00951C30"/>
    <w:rsid w:val="00953220"/>
    <w:rsid w:val="009546AA"/>
    <w:rsid w:val="00956497"/>
    <w:rsid w:val="00956A8F"/>
    <w:rsid w:val="009609DC"/>
    <w:rsid w:val="00961241"/>
    <w:rsid w:val="00973BA5"/>
    <w:rsid w:val="009742BF"/>
    <w:rsid w:val="00974594"/>
    <w:rsid w:val="00975C0D"/>
    <w:rsid w:val="00977697"/>
    <w:rsid w:val="009802F2"/>
    <w:rsid w:val="00980549"/>
    <w:rsid w:val="0098069B"/>
    <w:rsid w:val="00980B6B"/>
    <w:rsid w:val="0098201C"/>
    <w:rsid w:val="0098272C"/>
    <w:rsid w:val="00984586"/>
    <w:rsid w:val="00984A09"/>
    <w:rsid w:val="009868AF"/>
    <w:rsid w:val="00987B17"/>
    <w:rsid w:val="0099265A"/>
    <w:rsid w:val="00992B5F"/>
    <w:rsid w:val="009964AD"/>
    <w:rsid w:val="009A1600"/>
    <w:rsid w:val="009A76FB"/>
    <w:rsid w:val="009B0C70"/>
    <w:rsid w:val="009C2116"/>
    <w:rsid w:val="009C214D"/>
    <w:rsid w:val="009C7258"/>
    <w:rsid w:val="009D040C"/>
    <w:rsid w:val="009D1F4A"/>
    <w:rsid w:val="009D3BAC"/>
    <w:rsid w:val="009D40D6"/>
    <w:rsid w:val="009D4E16"/>
    <w:rsid w:val="009D613F"/>
    <w:rsid w:val="009D7638"/>
    <w:rsid w:val="009E02A7"/>
    <w:rsid w:val="009E14D7"/>
    <w:rsid w:val="009E22C6"/>
    <w:rsid w:val="009E3E30"/>
    <w:rsid w:val="009F0592"/>
    <w:rsid w:val="009F1F62"/>
    <w:rsid w:val="009F632A"/>
    <w:rsid w:val="00A00F8A"/>
    <w:rsid w:val="00A016FC"/>
    <w:rsid w:val="00A02416"/>
    <w:rsid w:val="00A0327A"/>
    <w:rsid w:val="00A04DE9"/>
    <w:rsid w:val="00A05F38"/>
    <w:rsid w:val="00A074F0"/>
    <w:rsid w:val="00A07801"/>
    <w:rsid w:val="00A11B96"/>
    <w:rsid w:val="00A144D7"/>
    <w:rsid w:val="00A16EC7"/>
    <w:rsid w:val="00A175EB"/>
    <w:rsid w:val="00A17D2A"/>
    <w:rsid w:val="00A21487"/>
    <w:rsid w:val="00A21F7D"/>
    <w:rsid w:val="00A22046"/>
    <w:rsid w:val="00A2565B"/>
    <w:rsid w:val="00A26464"/>
    <w:rsid w:val="00A265A5"/>
    <w:rsid w:val="00A35AA9"/>
    <w:rsid w:val="00A37D72"/>
    <w:rsid w:val="00A37F78"/>
    <w:rsid w:val="00A42827"/>
    <w:rsid w:val="00A431E9"/>
    <w:rsid w:val="00A4472E"/>
    <w:rsid w:val="00A455AE"/>
    <w:rsid w:val="00A465E1"/>
    <w:rsid w:val="00A51C40"/>
    <w:rsid w:val="00A53764"/>
    <w:rsid w:val="00A53A42"/>
    <w:rsid w:val="00A55636"/>
    <w:rsid w:val="00A55F97"/>
    <w:rsid w:val="00A562C1"/>
    <w:rsid w:val="00A60FB8"/>
    <w:rsid w:val="00A620CF"/>
    <w:rsid w:val="00A625F3"/>
    <w:rsid w:val="00A6461C"/>
    <w:rsid w:val="00A65A46"/>
    <w:rsid w:val="00A7054C"/>
    <w:rsid w:val="00A73002"/>
    <w:rsid w:val="00A73DD6"/>
    <w:rsid w:val="00A80DC6"/>
    <w:rsid w:val="00A83FEB"/>
    <w:rsid w:val="00A84566"/>
    <w:rsid w:val="00A918F8"/>
    <w:rsid w:val="00A9286D"/>
    <w:rsid w:val="00A92AAE"/>
    <w:rsid w:val="00A93AF2"/>
    <w:rsid w:val="00A96054"/>
    <w:rsid w:val="00A961C0"/>
    <w:rsid w:val="00A96E66"/>
    <w:rsid w:val="00A97552"/>
    <w:rsid w:val="00AA078A"/>
    <w:rsid w:val="00AA20BA"/>
    <w:rsid w:val="00AA2786"/>
    <w:rsid w:val="00AA2AE7"/>
    <w:rsid w:val="00AA3B0D"/>
    <w:rsid w:val="00AA4B23"/>
    <w:rsid w:val="00AA63D2"/>
    <w:rsid w:val="00AA7B83"/>
    <w:rsid w:val="00AB0576"/>
    <w:rsid w:val="00AB3EAE"/>
    <w:rsid w:val="00AB43BC"/>
    <w:rsid w:val="00AB6300"/>
    <w:rsid w:val="00AB67B9"/>
    <w:rsid w:val="00AB726C"/>
    <w:rsid w:val="00AC0905"/>
    <w:rsid w:val="00AC2DC7"/>
    <w:rsid w:val="00AD0F14"/>
    <w:rsid w:val="00AD389B"/>
    <w:rsid w:val="00AD60EB"/>
    <w:rsid w:val="00AE2B92"/>
    <w:rsid w:val="00AE2E58"/>
    <w:rsid w:val="00AE413A"/>
    <w:rsid w:val="00AE44FE"/>
    <w:rsid w:val="00AE747E"/>
    <w:rsid w:val="00AF090F"/>
    <w:rsid w:val="00AF152A"/>
    <w:rsid w:val="00AF2DA3"/>
    <w:rsid w:val="00AF3DC7"/>
    <w:rsid w:val="00B0079A"/>
    <w:rsid w:val="00B07CE1"/>
    <w:rsid w:val="00B102DC"/>
    <w:rsid w:val="00B10FD3"/>
    <w:rsid w:val="00B128E7"/>
    <w:rsid w:val="00B16DEA"/>
    <w:rsid w:val="00B16F0B"/>
    <w:rsid w:val="00B203C2"/>
    <w:rsid w:val="00B20D48"/>
    <w:rsid w:val="00B251E7"/>
    <w:rsid w:val="00B32130"/>
    <w:rsid w:val="00B32AE9"/>
    <w:rsid w:val="00B35DE1"/>
    <w:rsid w:val="00B40452"/>
    <w:rsid w:val="00B414C7"/>
    <w:rsid w:val="00B42650"/>
    <w:rsid w:val="00B44615"/>
    <w:rsid w:val="00B4519A"/>
    <w:rsid w:val="00B46CBD"/>
    <w:rsid w:val="00B52500"/>
    <w:rsid w:val="00B52BB3"/>
    <w:rsid w:val="00B54C95"/>
    <w:rsid w:val="00B5668A"/>
    <w:rsid w:val="00B56959"/>
    <w:rsid w:val="00B61014"/>
    <w:rsid w:val="00B6138F"/>
    <w:rsid w:val="00B61F72"/>
    <w:rsid w:val="00B62EBD"/>
    <w:rsid w:val="00B6591F"/>
    <w:rsid w:val="00B70CE1"/>
    <w:rsid w:val="00B71DCB"/>
    <w:rsid w:val="00B74068"/>
    <w:rsid w:val="00B75593"/>
    <w:rsid w:val="00B76415"/>
    <w:rsid w:val="00B76F16"/>
    <w:rsid w:val="00B80C88"/>
    <w:rsid w:val="00B815BF"/>
    <w:rsid w:val="00B82BE8"/>
    <w:rsid w:val="00B8324B"/>
    <w:rsid w:val="00B872ED"/>
    <w:rsid w:val="00B91F45"/>
    <w:rsid w:val="00B946E9"/>
    <w:rsid w:val="00B977F1"/>
    <w:rsid w:val="00BA13B7"/>
    <w:rsid w:val="00BA25FD"/>
    <w:rsid w:val="00BA3530"/>
    <w:rsid w:val="00BA5DCA"/>
    <w:rsid w:val="00BA7A87"/>
    <w:rsid w:val="00BB0F03"/>
    <w:rsid w:val="00BB4084"/>
    <w:rsid w:val="00BB5439"/>
    <w:rsid w:val="00BB6567"/>
    <w:rsid w:val="00BC2C23"/>
    <w:rsid w:val="00BC2F7A"/>
    <w:rsid w:val="00BC3D4A"/>
    <w:rsid w:val="00BC794C"/>
    <w:rsid w:val="00BD119D"/>
    <w:rsid w:val="00BD2BEE"/>
    <w:rsid w:val="00BE2C1F"/>
    <w:rsid w:val="00BE5182"/>
    <w:rsid w:val="00BE5E98"/>
    <w:rsid w:val="00BF009E"/>
    <w:rsid w:val="00BF1B61"/>
    <w:rsid w:val="00BF2EDF"/>
    <w:rsid w:val="00BF3014"/>
    <w:rsid w:val="00BF394A"/>
    <w:rsid w:val="00BF5A1A"/>
    <w:rsid w:val="00BF7404"/>
    <w:rsid w:val="00BF7B2A"/>
    <w:rsid w:val="00C06F79"/>
    <w:rsid w:val="00C07233"/>
    <w:rsid w:val="00C074B5"/>
    <w:rsid w:val="00C10CF8"/>
    <w:rsid w:val="00C12312"/>
    <w:rsid w:val="00C1402C"/>
    <w:rsid w:val="00C15099"/>
    <w:rsid w:val="00C159FD"/>
    <w:rsid w:val="00C1754B"/>
    <w:rsid w:val="00C17CD9"/>
    <w:rsid w:val="00C2077F"/>
    <w:rsid w:val="00C21312"/>
    <w:rsid w:val="00C2169C"/>
    <w:rsid w:val="00C27AAB"/>
    <w:rsid w:val="00C3568C"/>
    <w:rsid w:val="00C36677"/>
    <w:rsid w:val="00C3679E"/>
    <w:rsid w:val="00C36A4D"/>
    <w:rsid w:val="00C374F5"/>
    <w:rsid w:val="00C4088E"/>
    <w:rsid w:val="00C45C44"/>
    <w:rsid w:val="00C4621A"/>
    <w:rsid w:val="00C47014"/>
    <w:rsid w:val="00C47D05"/>
    <w:rsid w:val="00C47F2D"/>
    <w:rsid w:val="00C51556"/>
    <w:rsid w:val="00C5310B"/>
    <w:rsid w:val="00C54AC6"/>
    <w:rsid w:val="00C54FEF"/>
    <w:rsid w:val="00C61E23"/>
    <w:rsid w:val="00C63C22"/>
    <w:rsid w:val="00C63F44"/>
    <w:rsid w:val="00C65785"/>
    <w:rsid w:val="00C7386A"/>
    <w:rsid w:val="00C73C4B"/>
    <w:rsid w:val="00C7645E"/>
    <w:rsid w:val="00C76D21"/>
    <w:rsid w:val="00C80B03"/>
    <w:rsid w:val="00C80B30"/>
    <w:rsid w:val="00C80B3C"/>
    <w:rsid w:val="00C85253"/>
    <w:rsid w:val="00C85B19"/>
    <w:rsid w:val="00C87782"/>
    <w:rsid w:val="00C9783F"/>
    <w:rsid w:val="00CA1ADF"/>
    <w:rsid w:val="00CA219A"/>
    <w:rsid w:val="00CA4F59"/>
    <w:rsid w:val="00CA6004"/>
    <w:rsid w:val="00CB2AAF"/>
    <w:rsid w:val="00CB4C19"/>
    <w:rsid w:val="00CB5278"/>
    <w:rsid w:val="00CB5B07"/>
    <w:rsid w:val="00CC0AD7"/>
    <w:rsid w:val="00CC238E"/>
    <w:rsid w:val="00CC5059"/>
    <w:rsid w:val="00CC57FB"/>
    <w:rsid w:val="00CC6D47"/>
    <w:rsid w:val="00CC764C"/>
    <w:rsid w:val="00CC7767"/>
    <w:rsid w:val="00CC7F1E"/>
    <w:rsid w:val="00CD0F11"/>
    <w:rsid w:val="00CD1B8F"/>
    <w:rsid w:val="00CD22FB"/>
    <w:rsid w:val="00CD4E95"/>
    <w:rsid w:val="00CD593A"/>
    <w:rsid w:val="00CD6AB4"/>
    <w:rsid w:val="00CE107B"/>
    <w:rsid w:val="00CE1F4D"/>
    <w:rsid w:val="00CE4177"/>
    <w:rsid w:val="00CE4474"/>
    <w:rsid w:val="00CE6949"/>
    <w:rsid w:val="00CF5E46"/>
    <w:rsid w:val="00D00737"/>
    <w:rsid w:val="00D007FA"/>
    <w:rsid w:val="00D0145E"/>
    <w:rsid w:val="00D02019"/>
    <w:rsid w:val="00D03794"/>
    <w:rsid w:val="00D11EFE"/>
    <w:rsid w:val="00D14C50"/>
    <w:rsid w:val="00D14CF9"/>
    <w:rsid w:val="00D15178"/>
    <w:rsid w:val="00D15A76"/>
    <w:rsid w:val="00D20081"/>
    <w:rsid w:val="00D2440D"/>
    <w:rsid w:val="00D2783B"/>
    <w:rsid w:val="00D3159F"/>
    <w:rsid w:val="00D31BCA"/>
    <w:rsid w:val="00D31CE6"/>
    <w:rsid w:val="00D4057C"/>
    <w:rsid w:val="00D40D34"/>
    <w:rsid w:val="00D40FFF"/>
    <w:rsid w:val="00D4233F"/>
    <w:rsid w:val="00D43F32"/>
    <w:rsid w:val="00D44669"/>
    <w:rsid w:val="00D46157"/>
    <w:rsid w:val="00D52628"/>
    <w:rsid w:val="00D52FFC"/>
    <w:rsid w:val="00D5462F"/>
    <w:rsid w:val="00D55C08"/>
    <w:rsid w:val="00D562E3"/>
    <w:rsid w:val="00D5754D"/>
    <w:rsid w:val="00D62B8C"/>
    <w:rsid w:val="00D64709"/>
    <w:rsid w:val="00D64D4C"/>
    <w:rsid w:val="00D71E0F"/>
    <w:rsid w:val="00D74FF1"/>
    <w:rsid w:val="00D75761"/>
    <w:rsid w:val="00D77FAB"/>
    <w:rsid w:val="00D80E0D"/>
    <w:rsid w:val="00D81F48"/>
    <w:rsid w:val="00D858FA"/>
    <w:rsid w:val="00D86691"/>
    <w:rsid w:val="00D87995"/>
    <w:rsid w:val="00D902AC"/>
    <w:rsid w:val="00D905E0"/>
    <w:rsid w:val="00D9094B"/>
    <w:rsid w:val="00D90BB8"/>
    <w:rsid w:val="00D9123D"/>
    <w:rsid w:val="00D9234F"/>
    <w:rsid w:val="00D954ED"/>
    <w:rsid w:val="00D958B2"/>
    <w:rsid w:val="00D97E92"/>
    <w:rsid w:val="00DA2AA8"/>
    <w:rsid w:val="00DA3AB4"/>
    <w:rsid w:val="00DA51E1"/>
    <w:rsid w:val="00DA5BE5"/>
    <w:rsid w:val="00DA7DC7"/>
    <w:rsid w:val="00DB00BC"/>
    <w:rsid w:val="00DB13DC"/>
    <w:rsid w:val="00DB156C"/>
    <w:rsid w:val="00DB21E8"/>
    <w:rsid w:val="00DB28BA"/>
    <w:rsid w:val="00DB619C"/>
    <w:rsid w:val="00DB7DE8"/>
    <w:rsid w:val="00DC322A"/>
    <w:rsid w:val="00DC53E3"/>
    <w:rsid w:val="00DC57FE"/>
    <w:rsid w:val="00DC70A7"/>
    <w:rsid w:val="00DD5144"/>
    <w:rsid w:val="00DE1029"/>
    <w:rsid w:val="00DE1535"/>
    <w:rsid w:val="00DE162A"/>
    <w:rsid w:val="00DE1FB4"/>
    <w:rsid w:val="00DE419A"/>
    <w:rsid w:val="00DF00CD"/>
    <w:rsid w:val="00DF3136"/>
    <w:rsid w:val="00DF64FC"/>
    <w:rsid w:val="00DF739B"/>
    <w:rsid w:val="00E00B51"/>
    <w:rsid w:val="00E0112B"/>
    <w:rsid w:val="00E02C8F"/>
    <w:rsid w:val="00E0454B"/>
    <w:rsid w:val="00E04F7F"/>
    <w:rsid w:val="00E05383"/>
    <w:rsid w:val="00E0697F"/>
    <w:rsid w:val="00E07F80"/>
    <w:rsid w:val="00E10B7B"/>
    <w:rsid w:val="00E120D1"/>
    <w:rsid w:val="00E14D8E"/>
    <w:rsid w:val="00E1596A"/>
    <w:rsid w:val="00E15B01"/>
    <w:rsid w:val="00E20481"/>
    <w:rsid w:val="00E20FB4"/>
    <w:rsid w:val="00E24397"/>
    <w:rsid w:val="00E25DC8"/>
    <w:rsid w:val="00E27019"/>
    <w:rsid w:val="00E2773B"/>
    <w:rsid w:val="00E35668"/>
    <w:rsid w:val="00E37859"/>
    <w:rsid w:val="00E41560"/>
    <w:rsid w:val="00E43797"/>
    <w:rsid w:val="00E474C2"/>
    <w:rsid w:val="00E50CCD"/>
    <w:rsid w:val="00E5132F"/>
    <w:rsid w:val="00E5158B"/>
    <w:rsid w:val="00E5169F"/>
    <w:rsid w:val="00E51D9F"/>
    <w:rsid w:val="00E53E37"/>
    <w:rsid w:val="00E5406E"/>
    <w:rsid w:val="00E56B2E"/>
    <w:rsid w:val="00E56DF1"/>
    <w:rsid w:val="00E61273"/>
    <w:rsid w:val="00E619E3"/>
    <w:rsid w:val="00E65170"/>
    <w:rsid w:val="00E65813"/>
    <w:rsid w:val="00E66419"/>
    <w:rsid w:val="00E66660"/>
    <w:rsid w:val="00E671E0"/>
    <w:rsid w:val="00E726D7"/>
    <w:rsid w:val="00E77172"/>
    <w:rsid w:val="00E8368D"/>
    <w:rsid w:val="00E86390"/>
    <w:rsid w:val="00E8717A"/>
    <w:rsid w:val="00E90FE2"/>
    <w:rsid w:val="00E91346"/>
    <w:rsid w:val="00E924DF"/>
    <w:rsid w:val="00E96733"/>
    <w:rsid w:val="00EA3FE5"/>
    <w:rsid w:val="00EA431D"/>
    <w:rsid w:val="00EB007F"/>
    <w:rsid w:val="00EB06A5"/>
    <w:rsid w:val="00EB094C"/>
    <w:rsid w:val="00EB34F8"/>
    <w:rsid w:val="00EB39D0"/>
    <w:rsid w:val="00EB5A25"/>
    <w:rsid w:val="00EB7F0D"/>
    <w:rsid w:val="00EC3E04"/>
    <w:rsid w:val="00EC56E2"/>
    <w:rsid w:val="00EC59D9"/>
    <w:rsid w:val="00ED2A1F"/>
    <w:rsid w:val="00ED3DC9"/>
    <w:rsid w:val="00ED4C16"/>
    <w:rsid w:val="00ED770C"/>
    <w:rsid w:val="00EE4651"/>
    <w:rsid w:val="00EE6D98"/>
    <w:rsid w:val="00EF169D"/>
    <w:rsid w:val="00EF16F0"/>
    <w:rsid w:val="00EF2822"/>
    <w:rsid w:val="00EF6649"/>
    <w:rsid w:val="00F01BDF"/>
    <w:rsid w:val="00F041DF"/>
    <w:rsid w:val="00F062B0"/>
    <w:rsid w:val="00F11994"/>
    <w:rsid w:val="00F11FC2"/>
    <w:rsid w:val="00F12AA2"/>
    <w:rsid w:val="00F138DF"/>
    <w:rsid w:val="00F1441E"/>
    <w:rsid w:val="00F2269C"/>
    <w:rsid w:val="00F31B67"/>
    <w:rsid w:val="00F3232E"/>
    <w:rsid w:val="00F335C6"/>
    <w:rsid w:val="00F409B2"/>
    <w:rsid w:val="00F50301"/>
    <w:rsid w:val="00F541EB"/>
    <w:rsid w:val="00F6350C"/>
    <w:rsid w:val="00F64586"/>
    <w:rsid w:val="00F70264"/>
    <w:rsid w:val="00F71519"/>
    <w:rsid w:val="00F7170A"/>
    <w:rsid w:val="00F72087"/>
    <w:rsid w:val="00F73B8C"/>
    <w:rsid w:val="00F75A83"/>
    <w:rsid w:val="00F7610C"/>
    <w:rsid w:val="00F762B8"/>
    <w:rsid w:val="00F81832"/>
    <w:rsid w:val="00F81DDD"/>
    <w:rsid w:val="00F825C1"/>
    <w:rsid w:val="00F83BCB"/>
    <w:rsid w:val="00F86A74"/>
    <w:rsid w:val="00F907FD"/>
    <w:rsid w:val="00F91F6F"/>
    <w:rsid w:val="00F92DB0"/>
    <w:rsid w:val="00F96400"/>
    <w:rsid w:val="00F97500"/>
    <w:rsid w:val="00F97823"/>
    <w:rsid w:val="00F9783D"/>
    <w:rsid w:val="00FA0738"/>
    <w:rsid w:val="00FA16E2"/>
    <w:rsid w:val="00FA2A38"/>
    <w:rsid w:val="00FA3283"/>
    <w:rsid w:val="00FA4250"/>
    <w:rsid w:val="00FB0498"/>
    <w:rsid w:val="00FB1384"/>
    <w:rsid w:val="00FB1B53"/>
    <w:rsid w:val="00FB3F68"/>
    <w:rsid w:val="00FB52A6"/>
    <w:rsid w:val="00FC2A3E"/>
    <w:rsid w:val="00FC34CF"/>
    <w:rsid w:val="00FC4BF4"/>
    <w:rsid w:val="00FC5642"/>
    <w:rsid w:val="00FC5E3B"/>
    <w:rsid w:val="00FC5FAC"/>
    <w:rsid w:val="00FD002E"/>
    <w:rsid w:val="00FD2479"/>
    <w:rsid w:val="00FD36C6"/>
    <w:rsid w:val="00FD799E"/>
    <w:rsid w:val="00FE2A4E"/>
    <w:rsid w:val="00FE2BA5"/>
    <w:rsid w:val="00FE2C7A"/>
    <w:rsid w:val="00FE5399"/>
    <w:rsid w:val="00FE6882"/>
    <w:rsid w:val="00FE7751"/>
    <w:rsid w:val="00FE79E9"/>
    <w:rsid w:val="00FE7E4D"/>
    <w:rsid w:val="00FF34C5"/>
    <w:rsid w:val="00FF3CCA"/>
    <w:rsid w:val="00FF50E2"/>
    <w:rsid w:val="00FF794E"/>
    <w:rsid w:val="0803286E"/>
    <w:rsid w:val="0C8ED5B4"/>
    <w:rsid w:val="28C533B5"/>
    <w:rsid w:val="303E570F"/>
    <w:rsid w:val="31A09FD3"/>
    <w:rsid w:val="360A906D"/>
    <w:rsid w:val="38570362"/>
    <w:rsid w:val="39E1B62F"/>
    <w:rsid w:val="423645C7"/>
    <w:rsid w:val="49B2266F"/>
    <w:rsid w:val="4E42950A"/>
    <w:rsid w:val="4EC91D0A"/>
    <w:rsid w:val="57DE2BB6"/>
    <w:rsid w:val="6271E22D"/>
    <w:rsid w:val="65A1EEC1"/>
    <w:rsid w:val="68B4346B"/>
    <w:rsid w:val="68D733A5"/>
    <w:rsid w:val="6B95088A"/>
    <w:rsid w:val="6EDFF8AD"/>
    <w:rsid w:val="6EE3ECE9"/>
    <w:rsid w:val="6F4222A5"/>
    <w:rsid w:val="71C0469F"/>
    <w:rsid w:val="71D88B05"/>
    <w:rsid w:val="7E860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E3027"/>
  <w15:chartTrackingRefBased/>
  <w15:docId w15:val="{F75AEBFB-34DD-4FB9-B379-8CEC40D8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04"/>
    <w:rPr>
      <w:lang w:val="en-GB"/>
    </w:rPr>
  </w:style>
  <w:style w:type="paragraph" w:styleId="Heading1">
    <w:name w:val="heading 1"/>
    <w:basedOn w:val="Normal"/>
    <w:next w:val="Normal"/>
    <w:link w:val="Heading1Char"/>
    <w:uiPriority w:val="9"/>
    <w:qFormat/>
    <w:rsid w:val="00FE7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9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9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9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9E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FE79E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FE79E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E79E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E79E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E79E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79E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79E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79E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9E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7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9E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79E9"/>
    <w:pPr>
      <w:spacing w:before="160"/>
      <w:jc w:val="center"/>
    </w:pPr>
    <w:rPr>
      <w:i/>
      <w:iCs/>
      <w:color w:val="404040" w:themeColor="text1" w:themeTint="BF"/>
    </w:rPr>
  </w:style>
  <w:style w:type="character" w:customStyle="1" w:styleId="QuoteChar">
    <w:name w:val="Quote Char"/>
    <w:basedOn w:val="DefaultParagraphFont"/>
    <w:link w:val="Quote"/>
    <w:uiPriority w:val="29"/>
    <w:rsid w:val="00FE79E9"/>
    <w:rPr>
      <w:i/>
      <w:iCs/>
      <w:color w:val="404040" w:themeColor="text1" w:themeTint="BF"/>
      <w:lang w:val="en-GB"/>
    </w:rPr>
  </w:style>
  <w:style w:type="paragraph" w:styleId="ListParagraph">
    <w:name w:val="List Paragraph"/>
    <w:aliases w:val="Citation List,본문(내용),List Paragraph (numbered (a)),Forth level,CA bullets,Body,Bullet,Normal 1,List Paragraph1,Bullets,Akapit z listą BS,Table/Figure Heading,Dot pt,F5 List Paragraph,No Spacing1,List Paragraph Char Char Char"/>
    <w:basedOn w:val="Normal"/>
    <w:link w:val="ListParagraphChar"/>
    <w:uiPriority w:val="34"/>
    <w:qFormat/>
    <w:rsid w:val="00FE79E9"/>
    <w:pPr>
      <w:ind w:left="720"/>
      <w:contextualSpacing/>
    </w:pPr>
  </w:style>
  <w:style w:type="character" w:styleId="IntenseEmphasis">
    <w:name w:val="Intense Emphasis"/>
    <w:basedOn w:val="DefaultParagraphFont"/>
    <w:uiPriority w:val="21"/>
    <w:qFormat/>
    <w:rsid w:val="00FE79E9"/>
    <w:rPr>
      <w:i/>
      <w:iCs/>
      <w:color w:val="2F5496" w:themeColor="accent1" w:themeShade="BF"/>
    </w:rPr>
  </w:style>
  <w:style w:type="paragraph" w:styleId="IntenseQuote">
    <w:name w:val="Intense Quote"/>
    <w:basedOn w:val="Normal"/>
    <w:next w:val="Normal"/>
    <w:link w:val="IntenseQuoteChar"/>
    <w:uiPriority w:val="30"/>
    <w:qFormat/>
    <w:rsid w:val="00FE7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9E9"/>
    <w:rPr>
      <w:i/>
      <w:iCs/>
      <w:color w:val="2F5496" w:themeColor="accent1" w:themeShade="BF"/>
      <w:lang w:val="en-GB"/>
    </w:rPr>
  </w:style>
  <w:style w:type="character" w:styleId="IntenseReference">
    <w:name w:val="Intense Reference"/>
    <w:basedOn w:val="DefaultParagraphFont"/>
    <w:uiPriority w:val="32"/>
    <w:qFormat/>
    <w:rsid w:val="00FE79E9"/>
    <w:rPr>
      <w:b/>
      <w:bCs/>
      <w:smallCaps/>
      <w:color w:val="2F5496" w:themeColor="accent1" w:themeShade="BF"/>
      <w:spacing w:val="5"/>
    </w:rPr>
  </w:style>
  <w:style w:type="character" w:styleId="Hyperlink">
    <w:name w:val="Hyperlink"/>
    <w:basedOn w:val="DefaultParagraphFont"/>
    <w:uiPriority w:val="99"/>
    <w:unhideWhenUsed/>
    <w:rsid w:val="00FE79E9"/>
    <w:rPr>
      <w:color w:val="467886"/>
      <w:u w:val="single"/>
    </w:rPr>
  </w:style>
  <w:style w:type="character" w:styleId="CommentReference">
    <w:name w:val="annotation reference"/>
    <w:basedOn w:val="DefaultParagraphFont"/>
    <w:uiPriority w:val="99"/>
    <w:semiHidden/>
    <w:unhideWhenUsed/>
    <w:rsid w:val="00E05383"/>
    <w:rPr>
      <w:sz w:val="16"/>
      <w:szCs w:val="16"/>
    </w:rPr>
  </w:style>
  <w:style w:type="paragraph" w:styleId="CommentText">
    <w:name w:val="annotation text"/>
    <w:basedOn w:val="Normal"/>
    <w:link w:val="CommentTextChar"/>
    <w:uiPriority w:val="99"/>
    <w:unhideWhenUsed/>
    <w:rsid w:val="00E05383"/>
    <w:pPr>
      <w:spacing w:line="240" w:lineRule="auto"/>
    </w:pPr>
    <w:rPr>
      <w:sz w:val="20"/>
      <w:szCs w:val="20"/>
    </w:rPr>
  </w:style>
  <w:style w:type="character" w:customStyle="1" w:styleId="CommentTextChar">
    <w:name w:val="Comment Text Char"/>
    <w:basedOn w:val="DefaultParagraphFont"/>
    <w:link w:val="CommentText"/>
    <w:uiPriority w:val="99"/>
    <w:rsid w:val="00E05383"/>
    <w:rPr>
      <w:sz w:val="20"/>
      <w:szCs w:val="20"/>
      <w:lang w:val="en-GB"/>
    </w:rPr>
  </w:style>
  <w:style w:type="paragraph" w:styleId="CommentSubject">
    <w:name w:val="annotation subject"/>
    <w:basedOn w:val="CommentText"/>
    <w:next w:val="CommentText"/>
    <w:link w:val="CommentSubjectChar"/>
    <w:uiPriority w:val="99"/>
    <w:semiHidden/>
    <w:unhideWhenUsed/>
    <w:rsid w:val="00E05383"/>
    <w:rPr>
      <w:b/>
      <w:bCs/>
    </w:rPr>
  </w:style>
  <w:style w:type="character" w:customStyle="1" w:styleId="CommentSubjectChar">
    <w:name w:val="Comment Subject Char"/>
    <w:basedOn w:val="CommentTextChar"/>
    <w:link w:val="CommentSubject"/>
    <w:uiPriority w:val="99"/>
    <w:semiHidden/>
    <w:rsid w:val="00E05383"/>
    <w:rPr>
      <w:b/>
      <w:bCs/>
      <w:sz w:val="20"/>
      <w:szCs w:val="20"/>
      <w:lang w:val="en-GB"/>
    </w:rPr>
  </w:style>
  <w:style w:type="paragraph" w:styleId="FootnoteText">
    <w:name w:val="footnote text"/>
    <w:basedOn w:val="Normal"/>
    <w:link w:val="FootnoteTextChar"/>
    <w:semiHidden/>
    <w:unhideWhenUsed/>
    <w:rsid w:val="00215525"/>
    <w:pPr>
      <w:spacing w:after="0" w:line="240" w:lineRule="auto"/>
    </w:pPr>
    <w:rPr>
      <w:rFonts w:eastAsiaTheme="minorEastAsia"/>
      <w:kern w:val="0"/>
      <w:sz w:val="20"/>
      <w:szCs w:val="20"/>
      <w:lang w:val="en-SG" w:eastAsia="en-SG"/>
      <w14:ligatures w14:val="none"/>
    </w:rPr>
  </w:style>
  <w:style w:type="character" w:customStyle="1" w:styleId="FootnoteTextChar">
    <w:name w:val="Footnote Text Char"/>
    <w:basedOn w:val="DefaultParagraphFont"/>
    <w:link w:val="FootnoteText"/>
    <w:semiHidden/>
    <w:rsid w:val="00215525"/>
    <w:rPr>
      <w:rFonts w:eastAsiaTheme="minorEastAsia"/>
      <w:kern w:val="0"/>
      <w:sz w:val="20"/>
      <w:szCs w:val="20"/>
      <w:lang w:val="en-SG" w:eastAsia="en-SG"/>
      <w14:ligatures w14:val="none"/>
    </w:rPr>
  </w:style>
  <w:style w:type="character" w:styleId="FootnoteReference">
    <w:name w:val="footnote reference"/>
    <w:basedOn w:val="DefaultParagraphFont"/>
    <w:semiHidden/>
    <w:unhideWhenUsed/>
    <w:rsid w:val="00215525"/>
    <w:rPr>
      <w:vertAlign w:val="superscript"/>
    </w:rPr>
  </w:style>
  <w:style w:type="character" w:styleId="UnresolvedMention">
    <w:name w:val="Unresolved Mention"/>
    <w:basedOn w:val="DefaultParagraphFont"/>
    <w:uiPriority w:val="99"/>
    <w:semiHidden/>
    <w:unhideWhenUsed/>
    <w:rsid w:val="00215525"/>
    <w:rPr>
      <w:color w:val="605E5C"/>
      <w:shd w:val="clear" w:color="auto" w:fill="E1DFDD"/>
    </w:rPr>
  </w:style>
  <w:style w:type="paragraph" w:styleId="Header">
    <w:name w:val="header"/>
    <w:basedOn w:val="Normal"/>
    <w:link w:val="HeaderChar"/>
    <w:uiPriority w:val="99"/>
    <w:unhideWhenUsed/>
    <w:rsid w:val="000A7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F7"/>
    <w:rPr>
      <w:lang w:val="en-GB"/>
    </w:rPr>
  </w:style>
  <w:style w:type="paragraph" w:styleId="Footer">
    <w:name w:val="footer"/>
    <w:basedOn w:val="Normal"/>
    <w:link w:val="FooterChar"/>
    <w:uiPriority w:val="99"/>
    <w:unhideWhenUsed/>
    <w:rsid w:val="000A7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F7"/>
    <w:rPr>
      <w:lang w:val="en-GB"/>
    </w:rPr>
  </w:style>
  <w:style w:type="paragraph" w:styleId="Revision">
    <w:name w:val="Revision"/>
    <w:hidden/>
    <w:uiPriority w:val="99"/>
    <w:semiHidden/>
    <w:rsid w:val="00C61E23"/>
    <w:pPr>
      <w:spacing w:after="0" w:line="240" w:lineRule="auto"/>
    </w:pPr>
    <w:rPr>
      <w:lang w:val="en-GB"/>
    </w:rPr>
  </w:style>
  <w:style w:type="character" w:styleId="Mention">
    <w:name w:val="Mention"/>
    <w:basedOn w:val="DefaultParagraphFont"/>
    <w:uiPriority w:val="99"/>
    <w:unhideWhenUsed/>
    <w:rsid w:val="007C72F7"/>
    <w:rPr>
      <w:color w:val="2B579A"/>
      <w:shd w:val="clear" w:color="auto" w:fill="E1DFDD"/>
    </w:rPr>
  </w:style>
  <w:style w:type="character" w:customStyle="1" w:styleId="ListParagraphChar">
    <w:name w:val="List Paragraph Char"/>
    <w:aliases w:val="Citation List Char,본문(내용) Char,List Paragraph (numbered (a)) Char,Forth level Char,CA bullets Char,Body Char,Bullet Char,Normal 1 Char,List Paragraph1 Char,Bullets Char,Akapit z listą BS Char,Table/Figure Heading Char,Dot pt Char"/>
    <w:basedOn w:val="DefaultParagraphFont"/>
    <w:link w:val="ListParagraph"/>
    <w:uiPriority w:val="34"/>
    <w:locked/>
    <w:rsid w:val="00935062"/>
    <w:rPr>
      <w:lang w:val="en-GB"/>
    </w:rPr>
  </w:style>
  <w:style w:type="character" w:customStyle="1" w:styleId="Text1Char">
    <w:name w:val="Text 1 Char"/>
    <w:link w:val="Text1"/>
    <w:qFormat/>
    <w:locked/>
    <w:rsid w:val="00935062"/>
    <w:rPr>
      <w:rFonts w:ascii="Times New Roman" w:eastAsia="Times New Roman" w:hAnsi="Times New Roman" w:cs="Times New Roman"/>
      <w:b/>
      <w:sz w:val="24"/>
      <w:szCs w:val="20"/>
    </w:rPr>
  </w:style>
  <w:style w:type="paragraph" w:customStyle="1" w:styleId="Text1">
    <w:name w:val="Text 1"/>
    <w:basedOn w:val="Normal"/>
    <w:link w:val="Text1Char"/>
    <w:qFormat/>
    <w:rsid w:val="00935062"/>
    <w:pPr>
      <w:spacing w:before="100" w:beforeAutospacing="1" w:after="100" w:afterAutospacing="1" w:line="240" w:lineRule="auto"/>
      <w:jc w:val="both"/>
    </w:pPr>
    <w:rPr>
      <w:rFonts w:ascii="Times New Roman" w:eastAsia="Times New Roman" w:hAnsi="Times New Roman" w:cs="Times New Roman"/>
      <w:b/>
      <w:sz w:val="24"/>
      <w:szCs w:val="20"/>
      <w:lang w:val="en-US"/>
    </w:rPr>
  </w:style>
  <w:style w:type="table" w:styleId="TableGrid">
    <w:name w:val="Table Grid"/>
    <w:basedOn w:val="TableNormal"/>
    <w:uiPriority w:val="39"/>
    <w:rsid w:val="00427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65A"/>
    <w:rPr>
      <w:rFonts w:ascii="Times New Roman" w:hAnsi="Times New Roman" w:cs="Times New Roman"/>
      <w:sz w:val="24"/>
      <w:szCs w:val="24"/>
    </w:rPr>
  </w:style>
  <w:style w:type="character" w:customStyle="1" w:styleId="cf01">
    <w:name w:val="cf01"/>
    <w:basedOn w:val="DefaultParagraphFont"/>
    <w:rsid w:val="00813BCB"/>
    <w:rPr>
      <w:rFonts w:ascii="Segoe UI" w:hAnsi="Segoe UI" w:cs="Segoe UI" w:hint="default"/>
      <w:sz w:val="18"/>
      <w:szCs w:val="18"/>
    </w:rPr>
  </w:style>
  <w:style w:type="paragraph" w:customStyle="1" w:styleId="font-claude-response-body">
    <w:name w:val="font-claude-response-body"/>
    <w:basedOn w:val="Normal"/>
    <w:rsid w:val="0082457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nline-flex">
    <w:name w:val="inline-flex"/>
    <w:basedOn w:val="DefaultParagraphFont"/>
    <w:rsid w:val="0082457C"/>
  </w:style>
  <w:style w:type="character" w:customStyle="1" w:styleId="text-nowrap">
    <w:name w:val="text-nowrap"/>
    <w:basedOn w:val="DefaultParagraphFont"/>
    <w:rsid w:val="0082457C"/>
  </w:style>
  <w:style w:type="character" w:styleId="Strong">
    <w:name w:val="Strong"/>
    <w:basedOn w:val="DefaultParagraphFont"/>
    <w:uiPriority w:val="22"/>
    <w:qFormat/>
    <w:rsid w:val="00824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229">
      <w:bodyDiv w:val="1"/>
      <w:marLeft w:val="0"/>
      <w:marRight w:val="0"/>
      <w:marTop w:val="0"/>
      <w:marBottom w:val="0"/>
      <w:divBdr>
        <w:top w:val="none" w:sz="0" w:space="0" w:color="auto"/>
        <w:left w:val="none" w:sz="0" w:space="0" w:color="auto"/>
        <w:bottom w:val="none" w:sz="0" w:space="0" w:color="auto"/>
        <w:right w:val="none" w:sz="0" w:space="0" w:color="auto"/>
      </w:divBdr>
      <w:divsChild>
        <w:div w:id="124742052">
          <w:marLeft w:val="0"/>
          <w:marRight w:val="0"/>
          <w:marTop w:val="0"/>
          <w:marBottom w:val="0"/>
          <w:divBdr>
            <w:top w:val="none" w:sz="0" w:space="0" w:color="auto"/>
            <w:left w:val="none" w:sz="0" w:space="0" w:color="auto"/>
            <w:bottom w:val="none" w:sz="0" w:space="0" w:color="auto"/>
            <w:right w:val="none" w:sz="0" w:space="0" w:color="auto"/>
          </w:divBdr>
          <w:divsChild>
            <w:div w:id="1309477495">
              <w:marLeft w:val="0"/>
              <w:marRight w:val="0"/>
              <w:marTop w:val="0"/>
              <w:marBottom w:val="0"/>
              <w:divBdr>
                <w:top w:val="none" w:sz="0" w:space="0" w:color="auto"/>
                <w:left w:val="none" w:sz="0" w:space="0" w:color="auto"/>
                <w:bottom w:val="none" w:sz="0" w:space="0" w:color="auto"/>
                <w:right w:val="none" w:sz="0" w:space="0" w:color="auto"/>
              </w:divBdr>
            </w:div>
          </w:divsChild>
        </w:div>
        <w:div w:id="1391270452">
          <w:marLeft w:val="0"/>
          <w:marRight w:val="0"/>
          <w:marTop w:val="0"/>
          <w:marBottom w:val="0"/>
          <w:divBdr>
            <w:top w:val="none" w:sz="0" w:space="0" w:color="auto"/>
            <w:left w:val="none" w:sz="0" w:space="0" w:color="auto"/>
            <w:bottom w:val="none" w:sz="0" w:space="0" w:color="auto"/>
            <w:right w:val="none" w:sz="0" w:space="0" w:color="auto"/>
          </w:divBdr>
          <w:divsChild>
            <w:div w:id="1598906036">
              <w:marLeft w:val="0"/>
              <w:marRight w:val="0"/>
              <w:marTop w:val="0"/>
              <w:marBottom w:val="0"/>
              <w:divBdr>
                <w:top w:val="none" w:sz="0" w:space="0" w:color="auto"/>
                <w:left w:val="none" w:sz="0" w:space="0" w:color="auto"/>
                <w:bottom w:val="none" w:sz="0" w:space="0" w:color="auto"/>
                <w:right w:val="none" w:sz="0" w:space="0" w:color="auto"/>
              </w:divBdr>
            </w:div>
          </w:divsChild>
        </w:div>
        <w:div w:id="1790853848">
          <w:marLeft w:val="0"/>
          <w:marRight w:val="0"/>
          <w:marTop w:val="0"/>
          <w:marBottom w:val="0"/>
          <w:divBdr>
            <w:top w:val="none" w:sz="0" w:space="0" w:color="auto"/>
            <w:left w:val="none" w:sz="0" w:space="0" w:color="auto"/>
            <w:bottom w:val="none" w:sz="0" w:space="0" w:color="auto"/>
            <w:right w:val="none" w:sz="0" w:space="0" w:color="auto"/>
          </w:divBdr>
          <w:divsChild>
            <w:div w:id="17763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9248">
      <w:bodyDiv w:val="1"/>
      <w:marLeft w:val="0"/>
      <w:marRight w:val="0"/>
      <w:marTop w:val="0"/>
      <w:marBottom w:val="0"/>
      <w:divBdr>
        <w:top w:val="none" w:sz="0" w:space="0" w:color="auto"/>
        <w:left w:val="none" w:sz="0" w:space="0" w:color="auto"/>
        <w:bottom w:val="none" w:sz="0" w:space="0" w:color="auto"/>
        <w:right w:val="none" w:sz="0" w:space="0" w:color="auto"/>
      </w:divBdr>
    </w:div>
    <w:div w:id="240605484">
      <w:bodyDiv w:val="1"/>
      <w:marLeft w:val="0"/>
      <w:marRight w:val="0"/>
      <w:marTop w:val="0"/>
      <w:marBottom w:val="0"/>
      <w:divBdr>
        <w:top w:val="none" w:sz="0" w:space="0" w:color="auto"/>
        <w:left w:val="none" w:sz="0" w:space="0" w:color="auto"/>
        <w:bottom w:val="none" w:sz="0" w:space="0" w:color="auto"/>
        <w:right w:val="none" w:sz="0" w:space="0" w:color="auto"/>
      </w:divBdr>
    </w:div>
    <w:div w:id="328171190">
      <w:bodyDiv w:val="1"/>
      <w:marLeft w:val="0"/>
      <w:marRight w:val="0"/>
      <w:marTop w:val="0"/>
      <w:marBottom w:val="0"/>
      <w:divBdr>
        <w:top w:val="none" w:sz="0" w:space="0" w:color="auto"/>
        <w:left w:val="none" w:sz="0" w:space="0" w:color="auto"/>
        <w:bottom w:val="none" w:sz="0" w:space="0" w:color="auto"/>
        <w:right w:val="none" w:sz="0" w:space="0" w:color="auto"/>
      </w:divBdr>
    </w:div>
    <w:div w:id="338507074">
      <w:bodyDiv w:val="1"/>
      <w:marLeft w:val="0"/>
      <w:marRight w:val="0"/>
      <w:marTop w:val="0"/>
      <w:marBottom w:val="0"/>
      <w:divBdr>
        <w:top w:val="none" w:sz="0" w:space="0" w:color="auto"/>
        <w:left w:val="none" w:sz="0" w:space="0" w:color="auto"/>
        <w:bottom w:val="none" w:sz="0" w:space="0" w:color="auto"/>
        <w:right w:val="none" w:sz="0" w:space="0" w:color="auto"/>
      </w:divBdr>
    </w:div>
    <w:div w:id="397826814">
      <w:bodyDiv w:val="1"/>
      <w:marLeft w:val="0"/>
      <w:marRight w:val="0"/>
      <w:marTop w:val="0"/>
      <w:marBottom w:val="0"/>
      <w:divBdr>
        <w:top w:val="none" w:sz="0" w:space="0" w:color="auto"/>
        <w:left w:val="none" w:sz="0" w:space="0" w:color="auto"/>
        <w:bottom w:val="none" w:sz="0" w:space="0" w:color="auto"/>
        <w:right w:val="none" w:sz="0" w:space="0" w:color="auto"/>
      </w:divBdr>
    </w:div>
    <w:div w:id="402724321">
      <w:bodyDiv w:val="1"/>
      <w:marLeft w:val="0"/>
      <w:marRight w:val="0"/>
      <w:marTop w:val="0"/>
      <w:marBottom w:val="0"/>
      <w:divBdr>
        <w:top w:val="none" w:sz="0" w:space="0" w:color="auto"/>
        <w:left w:val="none" w:sz="0" w:space="0" w:color="auto"/>
        <w:bottom w:val="none" w:sz="0" w:space="0" w:color="auto"/>
        <w:right w:val="none" w:sz="0" w:space="0" w:color="auto"/>
      </w:divBdr>
    </w:div>
    <w:div w:id="444428993">
      <w:bodyDiv w:val="1"/>
      <w:marLeft w:val="0"/>
      <w:marRight w:val="0"/>
      <w:marTop w:val="0"/>
      <w:marBottom w:val="0"/>
      <w:divBdr>
        <w:top w:val="none" w:sz="0" w:space="0" w:color="auto"/>
        <w:left w:val="none" w:sz="0" w:space="0" w:color="auto"/>
        <w:bottom w:val="none" w:sz="0" w:space="0" w:color="auto"/>
        <w:right w:val="none" w:sz="0" w:space="0" w:color="auto"/>
      </w:divBdr>
    </w:div>
    <w:div w:id="468784086">
      <w:bodyDiv w:val="1"/>
      <w:marLeft w:val="0"/>
      <w:marRight w:val="0"/>
      <w:marTop w:val="0"/>
      <w:marBottom w:val="0"/>
      <w:divBdr>
        <w:top w:val="none" w:sz="0" w:space="0" w:color="auto"/>
        <w:left w:val="none" w:sz="0" w:space="0" w:color="auto"/>
        <w:bottom w:val="none" w:sz="0" w:space="0" w:color="auto"/>
        <w:right w:val="none" w:sz="0" w:space="0" w:color="auto"/>
      </w:divBdr>
    </w:div>
    <w:div w:id="612176928">
      <w:bodyDiv w:val="1"/>
      <w:marLeft w:val="0"/>
      <w:marRight w:val="0"/>
      <w:marTop w:val="0"/>
      <w:marBottom w:val="0"/>
      <w:divBdr>
        <w:top w:val="none" w:sz="0" w:space="0" w:color="auto"/>
        <w:left w:val="none" w:sz="0" w:space="0" w:color="auto"/>
        <w:bottom w:val="none" w:sz="0" w:space="0" w:color="auto"/>
        <w:right w:val="none" w:sz="0" w:space="0" w:color="auto"/>
      </w:divBdr>
    </w:div>
    <w:div w:id="613050533">
      <w:bodyDiv w:val="1"/>
      <w:marLeft w:val="0"/>
      <w:marRight w:val="0"/>
      <w:marTop w:val="0"/>
      <w:marBottom w:val="0"/>
      <w:divBdr>
        <w:top w:val="none" w:sz="0" w:space="0" w:color="auto"/>
        <w:left w:val="none" w:sz="0" w:space="0" w:color="auto"/>
        <w:bottom w:val="none" w:sz="0" w:space="0" w:color="auto"/>
        <w:right w:val="none" w:sz="0" w:space="0" w:color="auto"/>
      </w:divBdr>
    </w:div>
    <w:div w:id="736053880">
      <w:bodyDiv w:val="1"/>
      <w:marLeft w:val="0"/>
      <w:marRight w:val="0"/>
      <w:marTop w:val="0"/>
      <w:marBottom w:val="0"/>
      <w:divBdr>
        <w:top w:val="none" w:sz="0" w:space="0" w:color="auto"/>
        <w:left w:val="none" w:sz="0" w:space="0" w:color="auto"/>
        <w:bottom w:val="none" w:sz="0" w:space="0" w:color="auto"/>
        <w:right w:val="none" w:sz="0" w:space="0" w:color="auto"/>
      </w:divBdr>
    </w:div>
    <w:div w:id="737555317">
      <w:bodyDiv w:val="1"/>
      <w:marLeft w:val="0"/>
      <w:marRight w:val="0"/>
      <w:marTop w:val="0"/>
      <w:marBottom w:val="0"/>
      <w:divBdr>
        <w:top w:val="none" w:sz="0" w:space="0" w:color="auto"/>
        <w:left w:val="none" w:sz="0" w:space="0" w:color="auto"/>
        <w:bottom w:val="none" w:sz="0" w:space="0" w:color="auto"/>
        <w:right w:val="none" w:sz="0" w:space="0" w:color="auto"/>
      </w:divBdr>
    </w:div>
    <w:div w:id="794493117">
      <w:bodyDiv w:val="1"/>
      <w:marLeft w:val="0"/>
      <w:marRight w:val="0"/>
      <w:marTop w:val="0"/>
      <w:marBottom w:val="0"/>
      <w:divBdr>
        <w:top w:val="none" w:sz="0" w:space="0" w:color="auto"/>
        <w:left w:val="none" w:sz="0" w:space="0" w:color="auto"/>
        <w:bottom w:val="none" w:sz="0" w:space="0" w:color="auto"/>
        <w:right w:val="none" w:sz="0" w:space="0" w:color="auto"/>
      </w:divBdr>
    </w:div>
    <w:div w:id="806819786">
      <w:bodyDiv w:val="1"/>
      <w:marLeft w:val="0"/>
      <w:marRight w:val="0"/>
      <w:marTop w:val="0"/>
      <w:marBottom w:val="0"/>
      <w:divBdr>
        <w:top w:val="none" w:sz="0" w:space="0" w:color="auto"/>
        <w:left w:val="none" w:sz="0" w:space="0" w:color="auto"/>
        <w:bottom w:val="none" w:sz="0" w:space="0" w:color="auto"/>
        <w:right w:val="none" w:sz="0" w:space="0" w:color="auto"/>
      </w:divBdr>
    </w:div>
    <w:div w:id="846752036">
      <w:bodyDiv w:val="1"/>
      <w:marLeft w:val="0"/>
      <w:marRight w:val="0"/>
      <w:marTop w:val="0"/>
      <w:marBottom w:val="0"/>
      <w:divBdr>
        <w:top w:val="none" w:sz="0" w:space="0" w:color="auto"/>
        <w:left w:val="none" w:sz="0" w:space="0" w:color="auto"/>
        <w:bottom w:val="none" w:sz="0" w:space="0" w:color="auto"/>
        <w:right w:val="none" w:sz="0" w:space="0" w:color="auto"/>
      </w:divBdr>
    </w:div>
    <w:div w:id="924267272">
      <w:bodyDiv w:val="1"/>
      <w:marLeft w:val="0"/>
      <w:marRight w:val="0"/>
      <w:marTop w:val="0"/>
      <w:marBottom w:val="0"/>
      <w:divBdr>
        <w:top w:val="none" w:sz="0" w:space="0" w:color="auto"/>
        <w:left w:val="none" w:sz="0" w:space="0" w:color="auto"/>
        <w:bottom w:val="none" w:sz="0" w:space="0" w:color="auto"/>
        <w:right w:val="none" w:sz="0" w:space="0" w:color="auto"/>
      </w:divBdr>
    </w:div>
    <w:div w:id="951286529">
      <w:bodyDiv w:val="1"/>
      <w:marLeft w:val="0"/>
      <w:marRight w:val="0"/>
      <w:marTop w:val="0"/>
      <w:marBottom w:val="0"/>
      <w:divBdr>
        <w:top w:val="none" w:sz="0" w:space="0" w:color="auto"/>
        <w:left w:val="none" w:sz="0" w:space="0" w:color="auto"/>
        <w:bottom w:val="none" w:sz="0" w:space="0" w:color="auto"/>
        <w:right w:val="none" w:sz="0" w:space="0" w:color="auto"/>
      </w:divBdr>
    </w:div>
    <w:div w:id="1073354801">
      <w:bodyDiv w:val="1"/>
      <w:marLeft w:val="0"/>
      <w:marRight w:val="0"/>
      <w:marTop w:val="0"/>
      <w:marBottom w:val="0"/>
      <w:divBdr>
        <w:top w:val="none" w:sz="0" w:space="0" w:color="auto"/>
        <w:left w:val="none" w:sz="0" w:space="0" w:color="auto"/>
        <w:bottom w:val="none" w:sz="0" w:space="0" w:color="auto"/>
        <w:right w:val="none" w:sz="0" w:space="0" w:color="auto"/>
      </w:divBdr>
    </w:div>
    <w:div w:id="1117530595">
      <w:bodyDiv w:val="1"/>
      <w:marLeft w:val="0"/>
      <w:marRight w:val="0"/>
      <w:marTop w:val="0"/>
      <w:marBottom w:val="0"/>
      <w:divBdr>
        <w:top w:val="none" w:sz="0" w:space="0" w:color="auto"/>
        <w:left w:val="none" w:sz="0" w:space="0" w:color="auto"/>
        <w:bottom w:val="none" w:sz="0" w:space="0" w:color="auto"/>
        <w:right w:val="none" w:sz="0" w:space="0" w:color="auto"/>
      </w:divBdr>
    </w:div>
    <w:div w:id="1119031991">
      <w:bodyDiv w:val="1"/>
      <w:marLeft w:val="0"/>
      <w:marRight w:val="0"/>
      <w:marTop w:val="0"/>
      <w:marBottom w:val="0"/>
      <w:divBdr>
        <w:top w:val="none" w:sz="0" w:space="0" w:color="auto"/>
        <w:left w:val="none" w:sz="0" w:space="0" w:color="auto"/>
        <w:bottom w:val="none" w:sz="0" w:space="0" w:color="auto"/>
        <w:right w:val="none" w:sz="0" w:space="0" w:color="auto"/>
      </w:divBdr>
    </w:div>
    <w:div w:id="1213812440">
      <w:bodyDiv w:val="1"/>
      <w:marLeft w:val="0"/>
      <w:marRight w:val="0"/>
      <w:marTop w:val="0"/>
      <w:marBottom w:val="0"/>
      <w:divBdr>
        <w:top w:val="none" w:sz="0" w:space="0" w:color="auto"/>
        <w:left w:val="none" w:sz="0" w:space="0" w:color="auto"/>
        <w:bottom w:val="none" w:sz="0" w:space="0" w:color="auto"/>
        <w:right w:val="none" w:sz="0" w:space="0" w:color="auto"/>
      </w:divBdr>
    </w:div>
    <w:div w:id="1217280647">
      <w:bodyDiv w:val="1"/>
      <w:marLeft w:val="0"/>
      <w:marRight w:val="0"/>
      <w:marTop w:val="0"/>
      <w:marBottom w:val="0"/>
      <w:divBdr>
        <w:top w:val="none" w:sz="0" w:space="0" w:color="auto"/>
        <w:left w:val="none" w:sz="0" w:space="0" w:color="auto"/>
        <w:bottom w:val="none" w:sz="0" w:space="0" w:color="auto"/>
        <w:right w:val="none" w:sz="0" w:space="0" w:color="auto"/>
      </w:divBdr>
    </w:div>
    <w:div w:id="1219050237">
      <w:bodyDiv w:val="1"/>
      <w:marLeft w:val="0"/>
      <w:marRight w:val="0"/>
      <w:marTop w:val="0"/>
      <w:marBottom w:val="0"/>
      <w:divBdr>
        <w:top w:val="none" w:sz="0" w:space="0" w:color="auto"/>
        <w:left w:val="none" w:sz="0" w:space="0" w:color="auto"/>
        <w:bottom w:val="none" w:sz="0" w:space="0" w:color="auto"/>
        <w:right w:val="none" w:sz="0" w:space="0" w:color="auto"/>
      </w:divBdr>
    </w:div>
    <w:div w:id="1249584069">
      <w:bodyDiv w:val="1"/>
      <w:marLeft w:val="0"/>
      <w:marRight w:val="0"/>
      <w:marTop w:val="0"/>
      <w:marBottom w:val="0"/>
      <w:divBdr>
        <w:top w:val="none" w:sz="0" w:space="0" w:color="auto"/>
        <w:left w:val="none" w:sz="0" w:space="0" w:color="auto"/>
        <w:bottom w:val="none" w:sz="0" w:space="0" w:color="auto"/>
        <w:right w:val="none" w:sz="0" w:space="0" w:color="auto"/>
      </w:divBdr>
    </w:div>
    <w:div w:id="1250769721">
      <w:bodyDiv w:val="1"/>
      <w:marLeft w:val="0"/>
      <w:marRight w:val="0"/>
      <w:marTop w:val="0"/>
      <w:marBottom w:val="0"/>
      <w:divBdr>
        <w:top w:val="none" w:sz="0" w:space="0" w:color="auto"/>
        <w:left w:val="none" w:sz="0" w:space="0" w:color="auto"/>
        <w:bottom w:val="none" w:sz="0" w:space="0" w:color="auto"/>
        <w:right w:val="none" w:sz="0" w:space="0" w:color="auto"/>
      </w:divBdr>
    </w:div>
    <w:div w:id="1308243806">
      <w:bodyDiv w:val="1"/>
      <w:marLeft w:val="0"/>
      <w:marRight w:val="0"/>
      <w:marTop w:val="0"/>
      <w:marBottom w:val="0"/>
      <w:divBdr>
        <w:top w:val="none" w:sz="0" w:space="0" w:color="auto"/>
        <w:left w:val="none" w:sz="0" w:space="0" w:color="auto"/>
        <w:bottom w:val="none" w:sz="0" w:space="0" w:color="auto"/>
        <w:right w:val="none" w:sz="0" w:space="0" w:color="auto"/>
      </w:divBdr>
    </w:div>
    <w:div w:id="1456368131">
      <w:bodyDiv w:val="1"/>
      <w:marLeft w:val="0"/>
      <w:marRight w:val="0"/>
      <w:marTop w:val="0"/>
      <w:marBottom w:val="0"/>
      <w:divBdr>
        <w:top w:val="none" w:sz="0" w:space="0" w:color="auto"/>
        <w:left w:val="none" w:sz="0" w:space="0" w:color="auto"/>
        <w:bottom w:val="none" w:sz="0" w:space="0" w:color="auto"/>
        <w:right w:val="none" w:sz="0" w:space="0" w:color="auto"/>
      </w:divBdr>
    </w:div>
    <w:div w:id="1553230453">
      <w:bodyDiv w:val="1"/>
      <w:marLeft w:val="0"/>
      <w:marRight w:val="0"/>
      <w:marTop w:val="0"/>
      <w:marBottom w:val="0"/>
      <w:divBdr>
        <w:top w:val="none" w:sz="0" w:space="0" w:color="auto"/>
        <w:left w:val="none" w:sz="0" w:space="0" w:color="auto"/>
        <w:bottom w:val="none" w:sz="0" w:space="0" w:color="auto"/>
        <w:right w:val="none" w:sz="0" w:space="0" w:color="auto"/>
      </w:divBdr>
    </w:div>
    <w:div w:id="1597906100">
      <w:bodyDiv w:val="1"/>
      <w:marLeft w:val="0"/>
      <w:marRight w:val="0"/>
      <w:marTop w:val="0"/>
      <w:marBottom w:val="0"/>
      <w:divBdr>
        <w:top w:val="none" w:sz="0" w:space="0" w:color="auto"/>
        <w:left w:val="none" w:sz="0" w:space="0" w:color="auto"/>
        <w:bottom w:val="none" w:sz="0" w:space="0" w:color="auto"/>
        <w:right w:val="none" w:sz="0" w:space="0" w:color="auto"/>
      </w:divBdr>
    </w:div>
    <w:div w:id="1776830288">
      <w:bodyDiv w:val="1"/>
      <w:marLeft w:val="0"/>
      <w:marRight w:val="0"/>
      <w:marTop w:val="0"/>
      <w:marBottom w:val="0"/>
      <w:divBdr>
        <w:top w:val="none" w:sz="0" w:space="0" w:color="auto"/>
        <w:left w:val="none" w:sz="0" w:space="0" w:color="auto"/>
        <w:bottom w:val="none" w:sz="0" w:space="0" w:color="auto"/>
        <w:right w:val="none" w:sz="0" w:space="0" w:color="auto"/>
      </w:divBdr>
    </w:div>
    <w:div w:id="1834952923">
      <w:bodyDiv w:val="1"/>
      <w:marLeft w:val="0"/>
      <w:marRight w:val="0"/>
      <w:marTop w:val="0"/>
      <w:marBottom w:val="0"/>
      <w:divBdr>
        <w:top w:val="none" w:sz="0" w:space="0" w:color="auto"/>
        <w:left w:val="none" w:sz="0" w:space="0" w:color="auto"/>
        <w:bottom w:val="none" w:sz="0" w:space="0" w:color="auto"/>
        <w:right w:val="none" w:sz="0" w:space="0" w:color="auto"/>
      </w:divBdr>
    </w:div>
    <w:div w:id="1860318290">
      <w:bodyDiv w:val="1"/>
      <w:marLeft w:val="0"/>
      <w:marRight w:val="0"/>
      <w:marTop w:val="0"/>
      <w:marBottom w:val="0"/>
      <w:divBdr>
        <w:top w:val="none" w:sz="0" w:space="0" w:color="auto"/>
        <w:left w:val="none" w:sz="0" w:space="0" w:color="auto"/>
        <w:bottom w:val="none" w:sz="0" w:space="0" w:color="auto"/>
        <w:right w:val="none" w:sz="0" w:space="0" w:color="auto"/>
      </w:divBdr>
    </w:div>
    <w:div w:id="1873684164">
      <w:bodyDiv w:val="1"/>
      <w:marLeft w:val="0"/>
      <w:marRight w:val="0"/>
      <w:marTop w:val="0"/>
      <w:marBottom w:val="0"/>
      <w:divBdr>
        <w:top w:val="none" w:sz="0" w:space="0" w:color="auto"/>
        <w:left w:val="none" w:sz="0" w:space="0" w:color="auto"/>
        <w:bottom w:val="none" w:sz="0" w:space="0" w:color="auto"/>
        <w:right w:val="none" w:sz="0" w:space="0" w:color="auto"/>
      </w:divBdr>
    </w:div>
    <w:div w:id="1910729296">
      <w:bodyDiv w:val="1"/>
      <w:marLeft w:val="0"/>
      <w:marRight w:val="0"/>
      <w:marTop w:val="0"/>
      <w:marBottom w:val="0"/>
      <w:divBdr>
        <w:top w:val="none" w:sz="0" w:space="0" w:color="auto"/>
        <w:left w:val="none" w:sz="0" w:space="0" w:color="auto"/>
        <w:bottom w:val="none" w:sz="0" w:space="0" w:color="auto"/>
        <w:right w:val="none" w:sz="0" w:space="0" w:color="auto"/>
      </w:divBdr>
    </w:div>
    <w:div w:id="2005283297">
      <w:bodyDiv w:val="1"/>
      <w:marLeft w:val="0"/>
      <w:marRight w:val="0"/>
      <w:marTop w:val="0"/>
      <w:marBottom w:val="0"/>
      <w:divBdr>
        <w:top w:val="none" w:sz="0" w:space="0" w:color="auto"/>
        <w:left w:val="none" w:sz="0" w:space="0" w:color="auto"/>
        <w:bottom w:val="none" w:sz="0" w:space="0" w:color="auto"/>
        <w:right w:val="none" w:sz="0" w:space="0" w:color="auto"/>
      </w:divBdr>
    </w:div>
    <w:div w:id="20562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bz.gov.al/eli/vendim/2015/06/10/507/9b131a7c-2589-4f81-8437-8a499588bbc4;q=VKM%20507%20%E2%80%93%202015%20Lista%20e%20planeve%20dhe%20programeve%20qe%20i%20nenshtrohen%20VS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bz.gov.al/eli/vendim/2015/03/11/219/53377912-a59b-495a-9c3b-a244912bd50c;q=VKM%20219%20%E2%80%93%202015%20Konsultimi%20publik%20ne%20procesin%20e%20VS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o.org/faolex/results/details/en/c/LEX-FAOC137775" TargetMode="External"/><Relationship Id="rId5" Type="http://schemas.openxmlformats.org/officeDocument/2006/relationships/numbering" Target="numbering.xml"/><Relationship Id="rId15" Type="http://schemas.openxmlformats.org/officeDocument/2006/relationships/hyperlink" Target="https://unece.org/DAM/env/eia/documents/legaltexts/protocolenglish.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32001L004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ransport-community.org/wp-content/uploads/2022/10/treaty-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6b88493-a865-49b9-b502-6098bd4e94c2" xsi:nil="true"/>
    <lcf76f155ced4ddcb4097134ff3c332f xmlns="d292b1fe-f91d-47f4-ac94-be686920b0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7DDEFA11BF5F4485CB5F64DCC369E5" ma:contentTypeVersion="15" ma:contentTypeDescription="Create a new document." ma:contentTypeScope="" ma:versionID="14e67eb149069033fdfc2348c5908a9a">
  <xsd:schema xmlns:xsd="http://www.w3.org/2001/XMLSchema" xmlns:xs="http://www.w3.org/2001/XMLSchema" xmlns:p="http://schemas.microsoft.com/office/2006/metadata/properties" xmlns:ns2="d292b1fe-f91d-47f4-ac94-be686920b0dc" xmlns:ns3="e6b88493-a865-49b9-b502-6098bd4e94c2" targetNamespace="http://schemas.microsoft.com/office/2006/metadata/properties" ma:root="true" ma:fieldsID="323d67c448a8a922791731e6342b5bcf" ns2:_="" ns3:_="">
    <xsd:import namespace="d292b1fe-f91d-47f4-ac94-be686920b0dc"/>
    <xsd:import namespace="e6b88493-a865-49b9-b502-6098bd4e94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2b1fe-f91d-47f4-ac94-be686920b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657bc-322d-432e-b9f5-20aab76456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88493-a865-49b9-b502-6098bd4e94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7d1092-8c76-4edd-8d6c-49f990aea377}" ma:internalName="TaxCatchAll" ma:showField="CatchAllData" ma:web="e6b88493-a865-49b9-b502-6098bd4e9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1D827-639C-411D-90DF-251969A68E99}">
  <ds:schemaRefs>
    <ds:schemaRef ds:uri="http://schemas.openxmlformats.org/officeDocument/2006/bibliography"/>
  </ds:schemaRefs>
</ds:datastoreItem>
</file>

<file path=customXml/itemProps2.xml><?xml version="1.0" encoding="utf-8"?>
<ds:datastoreItem xmlns:ds="http://schemas.openxmlformats.org/officeDocument/2006/customXml" ds:itemID="{C6982D24-12E0-4F7D-91FF-0919D9F1B717}">
  <ds:schemaRefs>
    <ds:schemaRef ds:uri="http://schemas.microsoft.com/office/2006/metadata/properties"/>
    <ds:schemaRef ds:uri="http://schemas.microsoft.com/office/infopath/2007/PartnerControls"/>
    <ds:schemaRef ds:uri="e6b88493-a865-49b9-b502-6098bd4e94c2"/>
    <ds:schemaRef ds:uri="d292b1fe-f91d-47f4-ac94-be686920b0dc"/>
  </ds:schemaRefs>
</ds:datastoreItem>
</file>

<file path=customXml/itemProps3.xml><?xml version="1.0" encoding="utf-8"?>
<ds:datastoreItem xmlns:ds="http://schemas.openxmlformats.org/officeDocument/2006/customXml" ds:itemID="{FC83D663-F951-4EE3-8B6D-34869FB5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2b1fe-f91d-47f4-ac94-be686920b0dc"/>
    <ds:schemaRef ds:uri="e6b88493-a865-49b9-b502-6098bd4e9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CB64E-B7B2-428B-968E-C7EE28C3F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2535</Words>
  <Characters>16559</Characters>
  <Application>Microsoft Office Word</Application>
  <DocSecurity>0</DocSecurity>
  <Lines>424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Liljana Çela</dc:creator>
  <cp:keywords/>
  <dc:description/>
  <cp:lastModifiedBy>Ružica Simović</cp:lastModifiedBy>
  <cp:revision>19</cp:revision>
  <dcterms:created xsi:type="dcterms:W3CDTF">2026-06-09T02:52:00Z</dcterms:created>
  <dcterms:modified xsi:type="dcterms:W3CDTF">2026-06-10T07:56:00Z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0x0101004A7DDEFA11BF5F4485CB5F64DCC369E5</vt:lpwstr>
  </property>
  <property fmtid="{D5CDD505-2E9C-101B-9397-08002B2CF9AE}" pid="3" name="MediaServiceImageTags">
    <vt:lpwstr/>
  </property>
  <property fmtid="{D5CDD505-2E9C-101B-9397-08002B2CF9AE}" pid="4" name="GrammarlyDocumentId">
    <vt:lpwstr>1a57b80e4108f78502f5e0a3b534fac5ab72e6de2bed1027e19beedab9512748</vt:lpwstr>
  </property>
</Properties>
</file>